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RR.2008.253 vom 27. Oktober 2008</w:t>
      </w:r>
    </w:p>
    <w:p>
      <w:r>
        <w:t>Bundesstrafgericht, 2008-10-27, DE</w:t>
      </w:r>
    </w:p>
    <w:p>
      <w:r>
        <w:rPr>
          <w:b/>
        </w:rPr>
        <w:t xml:space="preserve">Quelle: </w:t>
      </w:r>
      <w:r>
        <w:t>https://mcp.opencaselaw.ch/entscheid/bstger_RR.2008.253</w:t>
      </w:r>
    </w:p>
    <w:p>
      <w:r>
        <w:t>FR: TPF RR.2008.253 du 27 octobre 2008</w:t>
      </w:r>
    </w:p>
    <w:p>
      <w:r>
        <w:t>IT: TPF RR.2008.253 del 27 ottobre 2008</w:t>
      </w:r>
    </w:p>
    <w:p>
      <w:pPr>
        <w:pStyle w:val="Heading2"/>
      </w:pPr>
      <w:r>
        <w:t>Regeste</w:t>
      </w:r>
    </w:p>
    <w:p>
      <w:r>
        <w:t>Internationale Rechtshilfe in Strafsachen an die Niederlande Herausgabe von Beweismitteln (Art. 74 IRSG); Beschlagnahme von Vermögenswerten (Art. 33a IRSV)</w:t>
      </w:r>
    </w:p>
    <w:p>
      <w:pPr>
        <w:pStyle w:val="Heading2"/>
      </w:pPr>
      <w:r>
        <w:t>Erwägungen</w:t>
      </w:r>
    </w:p>
    <w:p>
      <w:r>
        <w:rPr>
          <w:b/>
        </w:rPr>
        <w:t>E. 27</w:t>
      </w:r>
    </w:p>
    <w:p>
      <w:r>
        <w:t>Juni 2007 (ergänzt am 23. Juli 2007) sowie 28. und 29. Juli 2008 unter anderem die Herausgabe von Bankunterlagen von auf A. lautenden Konti bei den Banken C. und D. verfügt hat und verschiedene Konti, Depots und Schliessfächer von A. bei den genannten Banken sperren lassen hat (act. 1.3, 1.4, 1.5, 1.6, 1.20); - die Bundesanwaltschaft mit Schlussverfügung vom 21. August 2008 die Her- ausgabe der durch die Bank C. edierten Bankunterlagen von einem auf A. und E. lautenden Kontos verfügt hat sowie die in der Eintretens- und Zwi- schenverfügung vom 27. Juni 2007 (mit Ergänzung vom 23. Juli 2007) aufge- führten Konto- und Schliessfächersperren bei der Bank C. bestätigt hat (act. 1.2); - die Vertreterin von A. am 22. September 2008 an die II. Beschwerdekammer des Bundesstrafgerichts gelangt ist mit den Anträgen, es sei die Schlussver- fügung der Bundesanwaltschaft vom 21. August 2008 aufzuheben, die edier- ten Bankunterlagen seien nicht herauszugeben und die in den Eintretens- und Zwischenverfügungen angeordneten Konto-, Depot- und Schliessfächer- sperren seien aufzuheben. Eventualiter seien die Kontosperren im Betrag von CHF 100'000.00 aufzuheben (act. 1); - A. am 25. September 2008 aufgefordert worden ist, bis zum 6. bzw. nach Fristerstreckung bis zum 16. Oktober 2008 einen Kostenvorschuss von CHF 6'000.00 zu leisten (act. 3, 4); - die Vertreterin von A. mit Schreiben vom 16. Oktober 2008 den Rückzug der Beschwerde mitgeteilt hat (act. 5);</w:t>
      </w:r>
    </w:p>
    <w:p>
      <w:r>
        <w:t>- 3 -</w:t>
      </w:r>
    </w:p>
    <w:p>
      <w:r>
        <w:t>- das Beschwerdeverfahren daher zufolge Rückzugs der Beschwerde als erle- digt abzuschreiben ist; - der Beschwerdeführer, der seine Beschwerde zurückzieht, grundsätzlich als unterliegende Partei zu gelten und folglich gemäss Art. 30 lit. b SGG i.V.m. Art. 63 Abs. 1 VwVG die Gerichtskosten zu tragen hat (TPF RR.2007.4 vom 6. März 2007 und RR.2007.70 vom 30. Mai 2007), wobei die Gerichtsgebühr auf Fr. 300.00 anzusetzen ist (vgl. Art. 3 des Reglements vom 11. Februar 2004 über die Gerichtsgebühren vor dem Bundesstrafgericht, SR 173.711.32).</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