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RR.2008.240 vom 20. Februar 2009</w:t>
      </w:r>
    </w:p>
    <w:p>
      <w:r>
        <w:t>Bundesstrafgericht, 2009-02-20, DE</w:t>
      </w:r>
    </w:p>
    <w:p>
      <w:r>
        <w:rPr>
          <w:b/>
        </w:rPr>
        <w:t xml:space="preserve">Quelle: </w:t>
      </w:r>
      <w:r>
        <w:t>https://mcp.opencaselaw.ch/entscheid/bstger_RR.2008.240</w:t>
      </w:r>
    </w:p>
    <w:p>
      <w:r>
        <w:t>FR: TPF RR.2008.240 du 20 février 2009</w:t>
      </w:r>
    </w:p>
    <w:p>
      <w:r>
        <w:t>IT: TPF RR.2008.240 del 20 febbraio 2009</w:t>
      </w:r>
    </w:p>
    <w:p>
      <w:pPr>
        <w:pStyle w:val="Heading2"/>
      </w:pPr>
      <w:r>
        <w:t>Regeste</w:t>
      </w:r>
    </w:p>
    <w:p>
      <w:r>
        <w:t>Internationale Rechtshilfe in Strafsachen an Schweden Herausgabe von Beweismitteln (Art. 74 IRSG)</w:t>
      </w:r>
    </w:p>
    <w:p>
      <w:pPr>
        <w:pStyle w:val="Heading2"/>
      </w:pPr>
      <w:r>
        <w:t>Erwägungen</w:t>
      </w:r>
    </w:p>
    <w:p>
      <w:r>
        <w:rPr>
          <w:b/>
        </w:rPr>
        <w:t>E. 7</w:t>
      </w:r>
    </w:p>
    <w:p>
      <w:r>
        <w:t>Beim Rechtshilfeverfahren handelt es sich um ein internes schweizerisches Verfahren. Die Parteistellung im Rechtshilfeverfahren ist nach der bundes- gerichtlichen Rechtsprechung auf die Beschwerdelegitimation gemäss Art. 80h IRSG abzustimmen (BGE 127 II 104 E. 4b S. 111). Verfügungen der ausführenden Behörden sind daher, nebst dem Bundesamt, grundsätz- lich nur den im Sinne von Art. 80h lit. b IRSG i.V.m. Art. 9a IRSV von der Rechtshilfe persönlich und direkt betroffenen und damit zur Beschwerde legitimierten natürlichen Personen und Gesellschaften zuzustellen. Perso- nen, gegen die sich das ausländische Strafverfahren richtet, sind nicht ipso facto beschwerdelegitimiert (vgl. Art. 21 Abs. 3 IRSG) und haben im Rechtshilfeverfahren vor der ausführenden Behörde ebenfalls nur Partei- stellung, wenn sie von der Rechtshilfemassnahme persönlich und direkt im Sinne von Art. 80h lit. b IRSG i.V.m. Art. 9a IRSV betroffen sind. Die ersu- chende Behörde hat im Rechtshilfeverfahren betreffend die Herausgabe von Bankunterlagen keine Parteistellung (vgl. BGE 125 II 441 E. 3). Eintre- tens-, Zwischen- und Schlussverfügungen sowie weitere Verfahrensakten wie etwa Eingaben des Betroffenen sind ihr daher grundsätzlich selbst nach rechtskräftigem Abschluss des Rechtshilfeverfahrens nicht zu über- mitteln (TPF RR.2008.149 vom 11. Dezember 2008 E. 2; RR.2008.177 vom 16. September 2008 E. 7; ROBERT ZIMMERMANN, a.a.O., S. 159 N. 155 und S. 179 N. 170).</w:t>
      </w:r>
    </w:p>
    <w:p>
      <w:r>
        <w:t>Die Schlussverfügung vom 7. August 2008 ist daher auch insofern aufzu- heben, als darin unter Ziff. 5 des Dispositivs die schriftliche Mitteilung der Schlussverfügung nach rechtskräftigem Abschluss des Verfahrens an das Zentralamt für Wirtschaftskriminalität in Göteborg verfügt wird.</w:t>
      </w:r>
    </w:p>
    <w:p>
      <w:r>
        <w:rPr>
          <w:b/>
        </w:rPr>
        <w:t>E. 8.1</w:t>
      </w:r>
    </w:p>
    <w:p>
      <w:r>
        <w:t>Bei diesem Ausgang des Verfahrens hat die Beschwerdegegnerin den Be- schwerdeführer im Umfang seines teilweisen Obsiegens für die ihm er- wachsenen notwendigen und verhältnismässigen Parteikosten zu entschä- digen (Art. 64 Abs. 1 und 2 VwVG i.V.m. Art. 30 lit. b SGG). Der Beschwer- deführer hat nur zu einem kleinen Teil obsiegt, weshalb eine Entschädi- gung von Fr. 500.-- inkl. MwSt. angemessen erscheint (Art. 3 des Regle- ments vom 26. September 2006 über die Entschädigungen in Verfahren vor dem Bundesstrafgericht; SR 173.711.31; vgl. TPF RR.2007.6 vom 22. Februar 2007 E. 5).</w:t>
      </w:r>
    </w:p>
    <w:p>
      <w:r>
        <w:t>- 16 -</w:t>
      </w:r>
    </w:p>
    <w:p>
      <w:r>
        <w:rPr>
          <w:b/>
        </w:rPr>
        <w:t>E. 8.2</w:t>
      </w:r>
    </w:p>
    <w:p>
      <w:r>
        <w:t>Dem Beschwerdeführer ist, angesichts seines überwiegenden Unterlie- gens, eine leicht reduzierte Gerichtsgebühr aufzuerlegen (Art. 63 Abs. 1 VwVG i.V.m. Art. 30 lit. b SGG). Für die Berechnung der Gerichtsgebühr gelangt das Reglement vom 11. Februar 2004 über die Gerichtsgebühren vor dem Bundesstrafgericht (SR 173.711.32) zur Anwendung (TPF RR.2007.6 vom 22. Februar 2007 E. 5). Die Gerichtsgebühr ist auf Fr. 3'500.-- anzusetzen (Art. 3 des Reglements), unter Anrechnung des ge- leisteten Kostenvorschusses von Fr. 4'000.--. Die Bundesstrafgerichtskasse ist anzuweisen, dem Beschwerdeführer den Restbetrag von Fr. 500.-- zu- rückzuerstatten.</w:t>
      </w:r>
    </w:p>
    <w:p>
      <w:r>
        <w:t>- 17 -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