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RR.2008.223 vom 11. Dezember 2008</w:t>
      </w:r>
    </w:p>
    <w:p>
      <w:r>
        <w:t>Bundesstrafgericht, 2008-12-11, IT</w:t>
      </w:r>
    </w:p>
    <w:p>
      <w:r>
        <w:rPr>
          <w:b/>
        </w:rPr>
        <w:t xml:space="preserve">Quelle: </w:t>
      </w:r>
      <w:r>
        <w:t>https://mcp.opencaselaw.ch/entscheid/bstger_RR.2008.223</w:t>
      </w:r>
    </w:p>
    <w:p>
      <w:r>
        <w:t>FR: TPF RR.2008.223 du 11 décembre 2008</w:t>
      </w:r>
    </w:p>
    <w:p>
      <w:r>
        <w:t>IT: TPF RR.2008.223 del 11 dicembre 2008</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la II Corte dei reclami penali è l'autorità di ricorso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Di rilievo nella fattispecie è anche la Convenzione sul rici- claggio, la ricerca, il sequestro e la confisca dei proventi di reato, conclusa a Strasburgo l’8 novembre, entrata in vigore il 1° settembre 1993 per la Svizzera ed il 1° maggio 1994 per l’Italia (RS 0.311.53). Alle questioni che il prevalente diritto internazionale contenuto in detti trattati non regola espressamente o implicitamente, come pure quando il diritto nazionale sia più favorevole all'assistenza rispetto a quello pattizio, si applicano la legge federale sull'assistenza internazionale in materia penale del 20 marzo 1981 (AIMP; RS 351.1), unitamente alla relativa ordinanza (OAIMP; RS 351.11;</w:t>
      </w:r>
    </w:p>
    <w:p>
      <w:r>
        <w:t>- 4 -</w:t>
      </w:r>
    </w:p>
    <w:p>
      <w:r>
        <w:t>v. art. 1 cpv. 1 AIMP, art. I n. 2 dell'Accordo italo-svizzero; DTF 124 II 180 consid. 1a; 123 II 134 consid. 1a; 122 II 140 consid. 2). È fatto salvo il ri- spetto dei diritti fondamentali (DTF 123 II 595 consid. 7c, con rinvii dottrina- li).</w:t>
      </w:r>
    </w:p>
    <w:p>
      <w:r>
        <w:rPr>
          <w:b/>
        </w:rPr>
        <w:t>E. 1.3</w:t>
      </w:r>
    </w:p>
    <w:p>
      <w:r>
        <w:t>Interposto tempestivamente contro la decisione di chiusura del Ministero pubblico ticinese (v. art. 80k AIMP), il ricorso, che contro il provvedimento di trasmissione ha effetto sospensivo per legge (art. 21 cpv. 4 lett. b e 80l cpv. 1 AIMP; TPF 2007 79 consid. 1.5), è ricevibile sotto il profilo del- l'art. 80e cpv. 1 in relazione con l'art. 25 cpv. 1 AIMP. La legittimazione dei ricorrenti, titolari dei conti oggetto delle criticate misure d'assistenza, è paci- fica (v. art. 80h lett. b AIMP e art. 9a OAIMP; DTF 118 Ib 547 consid. 1d; TPF 2007 79 consid. 1.6 pag. 82).</w:t>
      </w:r>
    </w:p>
    <w:p>
      <w:r>
        <w:rPr>
          <w:b/>
        </w:rPr>
        <w:t>E. 2</w:t>
      </w:r>
    </w:p>
    <w:p>
      <w:r>
        <w:t>L'insorgente lamenta una violazione del principio della proporzionalità, per avere il Ministero pubblico ticinese ordinato la trasmissione di documenti ir- rilevanti ed inutili per il procedimento estero. I due versamenti provenienti dal conto n. 3 presso la banca J. sarebbero legati ad un regolare contratto di compravendita immobiliare concluso da A. con G. in data 11 ottobre 2005 (v. act. 1.4).</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 applica- to in procedure rette dalla CEAG (DTF 121 II 241 consid. 3c; 113 Ib 157 consid. 5a pag. 165; 112 Ib 576 consid. 13d pag. 603; ROBERT ZIMMERMANN, op. cit., pag. 513 e segg. n. 476), sia manifestamente disat- teso (DTF 120 Ib 251 consid. 5c; TPF RR.2007.18 del 21 maggio 2007, consid. 6.3, non pubblicato in TPF 2007 57) o se la domanda appaia abusi- va, le informazioni richieste essendo del tutto inidonee a far progredire le indagini (DTF 122 II 134 consid. 7b; 121 II 241 consid. 3a). È di rilievo, non da ultimo, il principio giurisprudenzialmente consolidato dell'utilità potenzia- le, secondo il quale non vengono trasmessi all'autorità rogante soltanto quei mezzi di prova certamente privi di rilevanza per il procedimento penale all'estero (DTF 126 II 258 consid. 9c pag. 264; 122 II 367 consid. 2c; 121 II 241 consid. 3a e b).</w:t>
      </w:r>
    </w:p>
    <w:p>
      <w:r>
        <w:t>- 5 -</w:t>
      </w:r>
    </w:p>
    <w:p>
      <w:r>
        <w:rPr>
          <w:b/>
        </w:rPr>
        <w:t>E. 2.2</w:t>
      </w:r>
    </w:p>
    <w:p>
      <w:r>
        <w:t>Nella fattispecie, il conto n. 5 presso la banca H. a Lugano, intestato a A. e B., è stato oggetto di due accrediti, uno di EUR 150'000.- in data 23 maggio 2006 e l'altro di EUR 140'000.- in data 31 luglio 2006, provenienti dal conto n. 3 presso la banca J., riconducibile a G., co-indagato nell'inchiesta italia- na (v. act. 8.2). Risulta dunque del tutto giustificato verificare se gli importi confluiti su tale conto siano di origine criminale e se l'acquisto degli immobi- li appartenenti a A. non costituisca una modalità di riciclaggio di denaro sporco (v. sentenza del Tribunale federale 1A.182/2006 del 9 agosto 2007, consid. 2.3; sentenza TPF RR.2007.130 del 27 settembre 2007, con- sid. 2.3). L'analisi della documentazione bancaria oggetto della decisione impugnata permetterà inoltre di verificare se esistono altre operazioni che necessitano approfondimenti, documentazione che riguarda altresì un pe- riodo compreso nel quadro temporale del campo d'indagine dell'autorità ro- gante (v. act. 8.1). Giova a tal proposito rilevare che, quando le autorità estere chiedono informazioni su conti bancari in procedimenti per reati pa- trimoniali o corruttivi, la natura stessa di dette infrazioni rende verosimile la necessità di acquisire l'integralità della documentazione bancaria. Ciò per- ché debbono poter individuare il titolare giuridico ed economico del conto e sapere a quali persone sia pervenuto l'eventuale provento del reato. La trasmissione dell'intera documentazione può evitare altresì l'inoltro di even- tuali domande complementari (DTF 121 II 241 consid. 3; sentenza del Tri- bunale federale 1C_486/2008 dell'11 novembre 2008, consid. 2.4). Si tratta di una maniera di procedere necessaria, se del caso, ad accertare anche l'estraneità degli interessati (DTF 129 II 462 consid. 5.5; sentenze del Tri- bunale federale 1A.182/2006 del 9 agosto 2007, consid. 2.3 e 3.2; 1A.52/2007 del 20 luglio 2007, consid. 2.1.3; 1A.227/2006 del 22 febbraio 2007, consid. 3.2; 1A.195/2005 del 1° settembre 2005 in fine; 1A.79/2005 del 27 aprile 2005, consid. 4.1). Costatata la sufficiente relazione tra le mi- sure d'assistenza richieste e l'oggetto del procedimento penale estero (DTF 129 II 462 consid. 5.3; 125 II 65 consid. 6b/aa; 122 II 367 consid. 2c), spetterà al giudice estero del merito valutare l'effettiva connessione tra la documentazione bancaria sequestrata e i fatti perseguiti all'estero. Riassu- mendo, la decisione impugnata non viola il principio della proporzionalità.</w:t>
      </w:r>
    </w:p>
    <w:p>
      <w:r>
        <w:rPr>
          <w:b/>
        </w:rPr>
        <w:t>E. 3</w:t>
      </w:r>
    </w:p>
    <w:p>
      <w:r>
        <w:t>Discende da quanto precede che il ricorso deve essere respinto. Le spese seguono la soccombenza (v. art. 63 cpv. 1 PA richiamato l’art. 30 lett. b LTPF). La competenza del Tribunale penale federale di disciplinare i detta- gli relativi alla determinazione delle tasse di giustizia si fonda sull’art. 15 cpv. 1 lett. a LTPF e sulla relativa giurisprudenza (v. sentenze TPF RR.2007.17 del 30 aprile 2007, consid. 2; RR.2007.6 del 22 febbraio 2007, consid. 5; RR.2007.31 del 21 marzo 2007, consid. 4). La tassa di giustizia è calcolata conformemente all’art. 3 del Regolamento sulle tasse di giustizia</w:t>
      </w:r>
    </w:p>
    <w:p>
      <w:r>
        <w:t>- 6 -</w:t>
      </w:r>
    </w:p>
    <w:p>
      <w:r>
        <w:t>del Tribunale penale federale (RS 173.711.32) ed è fissata nella fattispecie a fr. 3'000.- per ogni ricorrente, per un totale di fr. 6'000.-.</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