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RR.2008.214 vom 16. September 2008</w:t>
      </w:r>
    </w:p>
    <w:p>
      <w:r>
        <w:t>Bundesstrafgericht, 2008-09-16, DE</w:t>
      </w:r>
    </w:p>
    <w:p>
      <w:r>
        <w:rPr>
          <w:b/>
        </w:rPr>
        <w:t xml:space="preserve">Quelle: </w:t>
      </w:r>
      <w:r>
        <w:t>https://mcp.opencaselaw.ch/entscheid/bstger_RR.2008.214</w:t>
      </w:r>
    </w:p>
    <w:p>
      <w:r>
        <w:t>FR: TPF RR.2008.214 du 16 septembre 2008</w:t>
      </w:r>
    </w:p>
    <w:p>
      <w:r>
        <w:t>IT: TPF RR.2008.214 del 16 settembre 2008</w:t>
      </w:r>
    </w:p>
    <w:p>
      <w:pPr>
        <w:pStyle w:val="Heading2"/>
      </w:pPr>
      <w:r>
        <w:t>Regeste</w:t>
      </w:r>
    </w:p>
    <w:p>
      <w:r>
        <w:t>Auslieferung an Polen Beschwerde gegen 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Bei diesem Ausgang des Verfahrens wird der Beschwerdeführer kosten- pflichtig (Art. 63 Abs. 1 VwVG i.V.m. Art. 30 lit. b SGG). Für die Berech- nung der Gerichtsgebühr gelangt das Reglement vom 11. Februar 2004 über die Gerichtsgebühren vor dem Bundesstrafgericht (SR 173.711.32) zur Anwendung (TPF RR.2007.6 vom 22. Februar 2007 E. 5). Die Ge- richtsgebühr ist auf Fr. 3’000.-- festzusetzen (Art. 3 des Reglements über die Gerichtsgebühren vor dem Bundesstrafgericht).</w:t>
      </w:r>
    </w:p>
    <w:p>
      <w:r>
        <w:t>- 10 -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