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RR.2008.209 vom 14. Januar 2009</w:t>
      </w:r>
    </w:p>
    <w:p>
      <w:r>
        <w:t>Bundesstrafgericht, 2009-01-14, FR</w:t>
      </w:r>
    </w:p>
    <w:p>
      <w:r>
        <w:rPr>
          <w:b/>
        </w:rPr>
        <w:t xml:space="preserve">Quelle: </w:t>
      </w:r>
      <w:r>
        <w:t>https://mcp.opencaselaw.ch/entscheid/bstger_RR.2008.209</w:t>
      </w:r>
    </w:p>
    <w:p>
      <w:r>
        <w:t>FR: TPF RR.2008.209 du 14 janvier 2009</w:t>
      </w:r>
    </w:p>
    <w:p>
      <w:r>
        <w:t>IT: TPF RR.2008.209 del 14 gennaio 2009</w:t>
      </w:r>
    </w:p>
    <w:p>
      <w:pPr>
        <w:pStyle w:val="Heading2"/>
      </w:pPr>
      <w:r>
        <w:t>Regeste</w:t>
      </w:r>
    </w:p>
    <w:p>
      <w:r>
        <w:t>Entraide judiciaire internationale en matière pénale avec les Pays-Bas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L’entraide judiciaire entre les Pays-Bas et la Suisse est régie par la Con- vention européenne d’entraide judiciaire (CEEJ; RS 0.351.1).</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w:t>
      </w:r>
    </w:p>
    <w:p>
      <w:r>
        <w:t>- 4 -</w:t>
      </w:r>
    </w:p>
    <w:p>
      <w:r>
        <w:t>consid. 2a, 157 consid. 3b; arrêt du Tribunal fédéral 1A.96/2003 du 25 juin 2003, consid. 2.2; TPF RR.2007.178 du 29 novembre 2007, consid. 4.3). Il en découle qu’en vertu des art. 2 ch. 1 et 15 ch. 1 de l’Accord du 26 octo- bre 2004 entre la Confédération suisse, l’Union européenne et la Commu- nauté européenne sur l’association de la Suisse à la mise en œuvre, à l’application et au développement de l’acquis Schengen (RS 0.360.268.1; ci-après: l’Accord Schengen), en matière d’entraide aux Pays-Bas,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 ventionnel (cf. consid. 1.2), un échange d’écriture supplémentaire afférent au droit applicable n’a pas été nécessaire.</w:t>
      </w:r>
    </w:p>
    <w:p>
      <w:r>
        <w:rPr>
          <w:b/>
        </w:rPr>
        <w:t>E. 1.5</w:t>
      </w:r>
    </w:p>
    <w:p>
      <w:r>
        <w:t>Les dispositions de la CEEJ l’emportent sur le droit interne régissant la ma- tière, soit l’EIMP et son ordonnance d’exécution (OEIMP; RS 351.11), qui sont applicables aux questions non réglées, explicitement ou implicitement, par le droit conventionnel (art. 1 al. 1 EIMP), et lorsque le droit interne est plus favorable à l’entraide que le traité (ATF 129 II 462 consid. 1.1 p. 464; 123 II 134 consid. 1a p. 136; 122 II 140 consid. 2 p. 142 et les arrêts cités). Le respect des droits fondamentaux est réservé (ATF 123 II 595 consid. 7c p. 617).</w:t>
      </w:r>
    </w:p>
    <w:p>
      <w:r>
        <w:rPr>
          <w:b/>
        </w:rPr>
        <w:t>E. 1.6</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 l’entraide (art. 80d EIMP). Selon la jurisprudence relative à l’art. 80k EIMP, le délai de recours commence à courir, même en l’absence d’une notifica- tion formelle, lorsque l’intéressé a eu effectivement connaissance de la dé- cision contestée, par exemple lorsque sa banque l’informe des mesures prises à son encontre. Le délai de recours contre une décision d’entraide judiciaire commence à courir lorsque l’intéressé a eu effectivement connaissance de la décision (cf. ATF 124 II 124 consid. 2d/aa p. 127). Il est de 30 jours (art. 80k EIMP). En l’occurrence, le recourant a pris connais- sance de la décision le 21 juillet 2008. Déposé le 18 août 2008, le délai de 30 jours est respecté. Le recourant, titulaire du compte concerné par les</w:t>
      </w:r>
    </w:p>
    <w:p>
      <w:r>
        <w:t>- 5 -</w:t>
      </w:r>
    </w:p>
    <w:p>
      <w:r>
        <w:t>recherches bancaires, a qualité pour agir (art. 80h let. b EIMP et 9a let. a OEIMP).</w:t>
      </w:r>
    </w:p>
    <w:p>
      <w:r>
        <w:rPr>
          <w:b/>
        </w:rPr>
        <w:t>E. 2</w:t>
      </w:r>
    </w:p>
    <w:p>
      <w:r>
        <w:t>Le recourant indique dans l’acte de recours que la décision attaquée viole le principe de la double incrimination (art. 64 al. 1 EIMP). C’est toutefois avec une certaine confusion qu’il décrit en quoi consiste la violation.</w:t>
      </w:r>
    </w:p>
    <w:p>
      <w:r>
        <w:t>La double incrimination est un principe de base du droit de l’entraide. Selon ce principe, les mesures visées à l’art. 63 EIMP qui impliquent la contrainte – telle que la remise de dossiers et de documents (art. 63 al. 2 let. c) – ne peuvent être ordonnées que si l’état de fait exposé dans la demande cor- respond aux éléments objectifs d’une infraction réprimée par le droit suisse (cf. art. 64 EIMP). En l’occurrence, il ne fait pas de doute que la condition de la double punissabilité est bien satisfaite. Aux Pays-Bas, B. et C. sont poursuivis pour des infractions commises dans le cadre de la faillite de plu- sieurs sociétés. Les faits qui leur sont reprochés tombent sous le coup de l’art. 343 du Code pénal néerlandais réprimant la banqueroute frauduleuse dans des sociétés (cf. demande d’entraide du 27 septembre 2007, p. 7). Les faits visés par l’art. 343 du Code pénal néerlandais correspondent à ceux réprimés par l’art. 163 ch. 1 et 164 CP (cf. ATF 126 IV 5 consid. 2 p. 8 ss), voire par l’art. 167 CP (cf. ATF 117 IV 23).</w:t>
      </w:r>
    </w:p>
    <w:p>
      <w:r>
        <w:t>C’est également en vain que le recourant se prévaut du fait qu’aucune en- quête ne vise directement son compte. L’octroi de l’entraide n’implique en effet nullement que la personne soumise à une mesure de contrainte dans l’Etat requis soit elle-même prévenue ou accusée dans l’Etat requérant. Il suffit que dans cet Etat, une procédure pénale soit ouverte à l’encontre d’une personne sur laquelle pèsent des charges donnant lieu à l’entraide sous l’angle notamment de la double incrimination, et que des investiga- tions en Suisse soient nécessaires pour les besoins de la procédure étran- gère (arrêt du Tribunal fédéral 1A.218/2002 du 9 janvier 2003, consid. 3.2).</w:t>
      </w:r>
    </w:p>
    <w:p>
      <w:r>
        <w:t>- 6 -</w:t>
      </w:r>
    </w:p>
    <w:p>
      <w:r>
        <w:rPr>
          <w:b/>
        </w:rPr>
        <w:t>E. 3</w:t>
      </w:r>
    </w:p>
    <w:p>
      <w:r>
        <w:t>Le recourant fait aussi valoir une violation du principe de la proportionnalité, prétendant qu’il n’y aurait aucun lien entre son compte et les faits sous en- quête aux Pays-Bas. Du point de vue du recourant, la demande d’entraide présente par ailleurs un caractère exploratoire ("fishing expedition").</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 ens de preuve (ATF 122 II 367 consid. 2c; 121 II 241 consid. 3a; 120 Ib 251 consid. 5c et les arrêts cités).</w:t>
      </w:r>
    </w:p>
    <w:p>
      <w:r>
        <w:rPr>
          <w:b/>
        </w:rPr>
        <w:t>E. 3.2</w:t>
      </w:r>
    </w:p>
    <w:p>
      <w:r>
        <w:t>Le recourant se fourvoie en soutenant que le juge étranger procède par "fishing expedition". Le but de sa requête est clairement énoncé, à savoir être informé de la titularité du compte n° 1 ouvert à la banque I., ce compte étant apparu en lien avec des versements opérés par une société apparen- tée à B. Contrairement à ce qu’affirme le recourant, il n’apparaît nullement que l’entraide requise soit sans rapport avec l’infraction poursuivie et qu’elle soit impropre à faire progresser l’enquête. Le compte est directe- ment cité dans la requête d’entraide. L’autorité requérante a clairement manifesté son désir d’être informée sur le nom du titulaire de la relation bancaire. Dans ces circonstances, il n’y a pas de violation du principe de la proportionnalité.</w:t>
      </w:r>
    </w:p>
    <w:p>
      <w:r>
        <w:rPr>
          <w:b/>
        </w:rPr>
        <w:t>E. 4</w:t>
      </w:r>
    </w:p>
    <w:p>
      <w:r>
        <w:t>Les frais de la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- 7 -</w:t>
      </w:r>
    </w:p>
    <w:p>
      <w:r>
        <w:t>Par ces motifs, la IIe Cour des plaintes prononce:</w:t>
      </w:r>
    </w:p>
    <w:p>
      <w:r>
        <w:t>1. Le recours est rejeté.</w:t>
      </w:r>
    </w:p>
    <w:p>
      <w:r>
        <w:t>2. Un émolument de Fr. 4000.--, couvert par l’avance de frais acquittée, est mis à la charge du recourant.</w:t>
      </w:r>
    </w:p>
    <w:p>
      <w:r>
        <w:t>Bellinzone, le 14 janvier 2009</w:t>
      </w:r>
    </w:p>
    <w:p>
      <w:r>
        <w:t>Au nom de la IIe Cour des plaintes du Tribunal pénal fédéral</w:t>
      </w:r>
    </w:p>
    <w:p>
      <w:r>
        <w:t>La présidente: la greffière:</w:t>
      </w:r>
    </w:p>
    <w:p>
      <w:r>
        <w:t>Distribution</w:t>
      </w:r>
    </w:p>
    <w:p>
      <w:r>
        <w:t>- Me Roy Maybud, avocat, - Juge d’instruction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