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RR.2008.2 vom 24. Januar 2008</w:t>
      </w:r>
    </w:p>
    <w:p>
      <w:r>
        <w:t>Bundesstrafgericht, 2008-01-24, DE</w:t>
      </w:r>
    </w:p>
    <w:p>
      <w:r>
        <w:rPr>
          <w:b/>
        </w:rPr>
        <w:t xml:space="preserve">Quelle: </w:t>
      </w:r>
      <w:r>
        <w:t>https://mcp.opencaselaw.ch/entscheid/bstger_RR.2008.2</w:t>
      </w:r>
    </w:p>
    <w:p>
      <w:r>
        <w:t>FR: TPF RR.2008.2 du 24 janvier 2008</w:t>
      </w:r>
    </w:p>
    <w:p>
      <w:r>
        <w:t>IT: TPF RR.2008.2 del 24 gennaio 2008</w:t>
      </w:r>
    </w:p>
    <w:p>
      <w:pPr>
        <w:pStyle w:val="Heading2"/>
      </w:pPr>
      <w:r>
        <w:t>Regeste</w:t>
      </w:r>
    </w:p>
    <w:p>
      <w:r>
        <w:t>Internationale Rechtshilfe in Strafsachen an Deutschland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April 1959 (EUeR, SR 0.351.1), dem beide Staaten beigetreten sind, und der zwischen ihnen abgeschlossene Zusatzvertrag vom 13. November 1969 (SR 0.351.913.61) massgebend sind; soweit das Staatsvertragsrecht bestimmte Fragen nicht abschliessend regelt, das Landesrecht zur Anwen- dung gelangt, namentlich das Bundesgesetz vom 20. März 1981 über in- ternationale Rechtshilfe in Strafsachen (IRSG; SR 351.1) und die Verord-</w:t>
      </w:r>
    </w:p>
    <w:p>
      <w:r>
        <w:t>- 3 -</w:t>
      </w:r>
    </w:p>
    <w:p>
      <w:r>
        <w:t>nung vom 24. Februar 1982 über internationale Rechtshilfe in Strafsachen (IRSV; SR 351.11);</w:t>
      </w:r>
    </w:p>
    <w:p>
      <w:r>
        <w:t>- gegen Schlussverfügungen der ausführenden kantonalen Behörde innert 30 Tagen seit der Eröffnung des Entscheids bei der II. Beschwerdekammer des Bundesstrafgerichts Beschwerde geführt werden kann (Art. 80e Abs. 1 i.V.m. Art. 80k IRSG; Art. 28 Abs. 1 lit. e des Bundesgesetzes vom 4. Okto- ber 2002 über das Bundesstrafgericht, SGG, SR 173.71; Art. 9 Abs. 3 des Reglements vom 20. Juni 2006 für das Bundesstrafgericht, SR 173.710); zur Beschwerdeführung berechtigt ist, wer persönlich und direkt von einer Rechtshilfemassnahme betroffen ist und ein schutzwürdiges Interesse an deren Aufhebung oder Änderung hat (Art. 21 Abs. 3 und Art. 80h lit. b IRSG);</w:t>
      </w:r>
    </w:p>
    <w:p>
      <w:r>
        <w:t>- die Beschwerdeschrift gemäss Art. 30 lit. b SGG i.V.m. Art. 52 Abs. 1 VwVG die Begehren sowie deren Begründung mit Angabe der Beweismittel zu enthalten hat; eine Ausfertigung der angefochtenen Verfügung beizule- gen ist, soweit der Beschwerdeführer diese in Händen hat; die II. Be- schwerdekammer dem Beschwerdeführer eine kurze Nachfrist zur Verbes- serung der Beschwerde einräumt, wenn die Beschwerde diesen Anforde- rungen nicht genügt, oder die Begehren des Beschwerdeführers oder de- ren Begründung die nötige Klarheit vermissen lassen, es sei denn die Be- schwerde stelle sich als offensichtlich unzulässig heraus (Art. 30 lit. b SGG i.V.m. Art. 52 Abs. 2 VwVG);</w:t>
      </w:r>
    </w:p>
    <w:p>
      <w:r>
        <w:t>- auf die Durchführung eines Schriftenwechsels verzichtet werden kann, wenn sich die Beschwerde von vornherein als unzulässig oder unbegründet erweist (Art. 30 lit. b SGG i.V.m. Art. 57 Abs. 1 VwVG);</w:t>
      </w:r>
    </w:p>
    <w:p>
      <w:r>
        <w:t>- vorliegend sich die Rüge des Beschwerdeführers einzig auf eine Formulie- rung in Ziff. 1 des Sachverhalts bezieht, welche die Sachdarstellung des deutschen Rechtshilfeersuchens vom 6. Juni 2007 wiedergibt;</w:t>
      </w:r>
    </w:p>
    <w:p>
      <w:r>
        <w:t>- der Beschwerdeführer auf seine mündliche Aussage verweist und rügt, er sei mit dieser Formulierung nicht “einverstanden“; er jedoch weder darlegt oder auch nur geltend macht, die genannte Sachdarstellung enthalte offen- sichtliche Fehler, Lücken oder Widersprüche;</w:t>
      </w:r>
    </w:p>
    <w:p>
      <w:r>
        <w:t>- der Rechtshilferichter gemäss ständiger Rechtsprechung weder Tat- noch Schuldfragen zu prüfen und grundsätzlich auch keine Beweiswürdigung vorzunehmen hat, sondern vielmehr an die Sachdarstellung im Ersuchen gebunden ist, soweit sie nicht durch offensichtliche Fehler, Lücken oder</w:t>
      </w:r>
    </w:p>
    <w:p>
      <w:r>
        <w:t>- 4 -</w:t>
      </w:r>
    </w:p>
    <w:p>
      <w:r>
        <w:t>Widersprüche sofort entkräftet wird (Urteile des Bundesgerichts 1A.189/2006 vom 7. Februar 2007, E. 2.6; 1A.125/2006 vom 10. August 2006, E. 2.1, je m.w.H.; vgl. auch BGE 132 II 81 E. 2.1 S. 85; TPF RR.2007.16 vom 16. Mai 2007 E. 4.1);</w:t>
      </w:r>
    </w:p>
    <w:p>
      <w:r>
        <w:t>- die II. Beschwerdekammer die beanstandete Formulierung mangels offen- sichtlicher Fehler, Lücken oder Widersprüche daher nicht auf ihre Richtig- keit zu überprüfen hat;</w:t>
      </w:r>
    </w:p>
    <w:p>
      <w:r>
        <w:t>- die Beschwerde somit zum vornherein als offensichtlich unbegründet ab- zuweisen ist, soweit darauf eingetreten werden kann;</w:t>
      </w:r>
    </w:p>
    <w:p>
      <w:r>
        <w:t>- es sich daher rechtfertigt, den vorliegenden Entscheid in Anwendung von Art. 30 lit. b SGG i.V.m. Art. 57 Abs. 1 VwVG ohne vorgängigen Schriften- wechsel zu fällen;</w:t>
      </w:r>
    </w:p>
    <w:p>
      <w:r>
        <w:t>- der Beschwerdeführer bei diesem Ausgang des Verfahrens kostenpflichtig wird (Art. 30 lit. b SGG i.V.m. Art. 63 Abs. 1 VwVG), wobei die Gerichtsge- bühr auf Fr. 500.-- anzusetzen ist (Art. 3 des Reglements vom 11. Februar 2004 über die Gerichtsgebühren vor dem Bundesstrafgericht, SR 173.711.32; TPF RR.2007.6 vom 22. Februar 2007 E. 5).</w:t>
      </w:r>
    </w:p>
    <w:p>
      <w:r>
        <w:t>- 5 -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