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RR.2008.19 vom 26. März 2008</w:t>
      </w:r>
    </w:p>
    <w:p>
      <w:r>
        <w:t>Bundesstrafgericht, 2008-03-26, DE</w:t>
      </w:r>
    </w:p>
    <w:p>
      <w:r>
        <w:rPr>
          <w:b/>
        </w:rPr>
        <w:t xml:space="preserve">Quelle: </w:t>
      </w:r>
      <w:r>
        <w:t>https://mcp.opencaselaw.ch/entscheid/bstger_RR.2008.19</w:t>
      </w:r>
    </w:p>
    <w:p>
      <w:r>
        <w:t>FR: TPF RR.2008.19 du 26 mars 2008</w:t>
      </w:r>
    </w:p>
    <w:p>
      <w:r>
        <w:t>IT: TPF RR.2008.19 del 26 marzo 2008</w:t>
      </w:r>
    </w:p>
    <w:p>
      <w:pPr>
        <w:pStyle w:val="Heading2"/>
      </w:pPr>
      <w:r>
        <w:t>Regeste</w:t>
      </w:r>
    </w:p>
    <w:p>
      <w:r>
        <w:t>Internationale Rechtshilfe in Strafsachen an Deutschland Herausgabe von Beweismitteln (Art. 74 Abs. 1 IRSG)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September 2006 an die rechtshilfeersuchende Behörde verfügt wurde (act. 1.2); − der Beschwerdeführer mit Eingabe vom 29. Januar 2008 bei der II. Be- schwerdekammer des Bundesstrafgerichts Beschwerde gegen die vorer- wähnte Teil-Schlussverfügung einreichte mit dem Antrag, es sei die Teil- Schlussverfügung aufzuheben, unter Kosten- und Entschädigungsfolge zu Lasten der Staatsanwaltschaft Thurgau (act. 1); − sowohl die Staatsanwaltschaft des Kantons Thurgau wie auch das Bundes- amt für Justiz in ihren Beschwerdeantworten vom 15. bzw. 22. Februar 2008 die kostenfällige Abweisung der Beschwerde beantragen (act. 7 und 8); − dem Beschwerdeführer die Beschwerdeantworten mit Schreiben vom 25. Februar 2008 zur Einreichung einer allfälligen Duplik bis zum 12. März 2008 zugestellt wurden (act. 9); − der Beschwerdeführer binnen erstreckter Frist mit Eingabe vom 20. März 2008 seine Beschwerde zurückgezogen hat (act. 11); − das vorliegende Verfahren demnach zufolge Rückzugs der Beschwerde als erledigt abzuschreiben ist; − der Beschwerdeführer bei diesem Ausgang des Verfahrens als unterliegende Partei zu gelten und die (reduzierten) Verfahrenskosten zu tragen hat (Art. 63 Abs. 1 VwVG i.V.m. Art. 30 lit. b SGG; TPF RR.2007.70 vom 30. Mai</w:t>
      </w:r>
    </w:p>
    <w:p>
      <w:r>
        <w:t>- 3 -</w:t>
      </w:r>
    </w:p>
    <w:p>
      <w:r>
        <w:t>2007; ALFRED KÖLZ / ISABELLE HÄNER, Verwaltungsverfahren und Verwal- tungsrechtspflege des Bundes, 2. Aufl., Zürich 1998, Rz. 698); − die Gebühr für das vorliegende Verfahren auf Fr. 500.-- festzusetzen ist (Art. 3 des Reglements vom 11. Februar 2004 über die Gerichtsgebühren vor dem Bundesstrafgericht; SR 173.711.32), unter Anrechnung des geleisteten Kostenvorschusses von Fr. 6'000.--; − die Bundesstrafgerichtskasse anzuweisen ist, dem Beschwerdeführer den Restbetrag von Fr. 5'500.-- zurückzuerstatten.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