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RR.2008.161 vom 2. Februar 2009</w:t>
      </w:r>
    </w:p>
    <w:p>
      <w:r>
        <w:t>Bundesstrafgericht, 2009-02-02, DE</w:t>
      </w:r>
    </w:p>
    <w:p>
      <w:r>
        <w:rPr>
          <w:b/>
        </w:rPr>
        <w:t xml:space="preserve">Quelle: </w:t>
      </w:r>
      <w:r>
        <w:t>https://mcp.opencaselaw.ch/entscheid/bstger_RR.2008.161</w:t>
      </w:r>
    </w:p>
    <w:p>
      <w:r>
        <w:t>FR: TPF RR.2008.161 du 2 février 2009</w:t>
      </w:r>
    </w:p>
    <w:p>
      <w:r>
        <w:t>IT: TPF RR.2008.161 del 2 febbraio 2009</w:t>
      </w:r>
    </w:p>
    <w:p>
      <w:pPr>
        <w:pStyle w:val="Heading2"/>
      </w:pPr>
      <w:r>
        <w:t>Regeste</w:t>
      </w:r>
    </w:p>
    <w:p>
      <w:r>
        <w:t>Internationale Rechtshilfe in Strafsachen an Lettland Herausgabe von Beweismitteln (Art. 74 IRSG), Vermögenssperre (Art. 33a IRSV)</w:t>
      </w:r>
    </w:p>
    <w:p>
      <w:pPr>
        <w:pStyle w:val="Heading2"/>
      </w:pPr>
      <w:r>
        <w:t>Erwägungen</w:t>
      </w:r>
    </w:p>
    <w:p>
      <w:r>
        <w:rPr>
          <w:b/>
        </w:rPr>
        <w:t>E. 19</w:t>
      </w:r>
    </w:p>
    <w:p>
      <w:r>
        <w:t>Juli 2007 und 26. Oktober 2007 an die Schweiz gelangt und hat um Übermittlung von Bankunterlagen der Bank E. und der Bank F., Zürich, u.a. betreffend Konten der A. Ltd. und der B. Ltd. ersucht. Ebenso beantragte sie die Sperrung der betreffenden Konten sowie von Konten weiterer Ge- sellschaften im Umfang von USD 85 Mio. oder deren Gegenwert (act. 11.1, 11.2; RR.2007.126 act. 1.8). B. Das Bundesamt für Justiz (nachfolgend „Bundesamt“) hat das Rechtshilfe- ersuchen und die Ergänzung vom 19. Juli 2007 der Bundesanwaltschaft am 24. Juli 2007 zum Vollzug übertragen. Die Bundesanwaltschaft ist mit Eintretens- und Zwischenverfügung vom 25. Juli 2007 auf das Rechtshilfe- ersuchen samt Ergänzung eingetreten. Sie verfügte die Herausgabe von Kontounterlagen der A. Ltd. und B. Ltd. und hat die bereits am 13. Juni 2007 vorläufig angeordneten Kontosperren weiterführen lassen (act. 11.3). Auf die gegen die Vermögenssperren gerichtete Beschwerde der A. Ltd. und B. Ltd. vom 9. August 2007 ist das Bundesstrafgericht mit Entscheid RR.2007.126 vom 26. September 2007 nicht eingetreten.</w:t>
      </w:r>
    </w:p>
    <w:p>
      <w:r>
        <w:t>C. Mit Schlussverfügung vom 12. Juni 2008 hat die Bundesanwaltschaft dem Rechtshilfeersuchen vom 12. Juni 2007 und den Ergänzungen vom 19. Juli 2007 und 26. Oktober 2007 entsprochen und die Herausgabe der von der Bank F. und Bank E. edierten Bankunterlagen betreffend Konto Nr. 1 der A. Ltd. und Konto Nr. 2 sowie Nr. 3 der B. Ltd. verfügt. Ebenso wurde die Vermögenssperre der genannten Konten im Umfang von rund USD 5 Mio. bestätigt (act. 1.1 bzw. 11.4).</w:t>
      </w:r>
    </w:p>
    <w:p>
      <w:r>
        <w:t>D. Gegen die Schlussverfügung der Bundesanwaltschaft erhebt der Vertreter der A. Ltd. und B. Ltd. am 14. Juli 2008 Beschwerde mit folgenden Anträ- gen (act. 1):</w:t>
      </w:r>
    </w:p>
    <w:p>
      <w:r>
        <w:t>„1. Es seien sowohl bezüglich der Beschwerdeführerin 1 wie auch bezüglich der Beschwerdeführerin 2 die Aktenstücke „000004 und 000005“ aus dem Konto Nr. 1 der Beschwerdeführerin 1 und die Aktenstücke „000005 und 000006“ aus dem Konto Nr. 2 der Beschwerdeführerin 2 bei der Bank F. gemäss Dispositiv-Ziffer 2 der angefochtenen Verfügung nicht der ersu-</w:t>
      </w:r>
    </w:p>
    <w:p>
      <w:r>
        <w:t>- 3 -</w:t>
      </w:r>
    </w:p>
    <w:p>
      <w:r>
        <w:t>chenden Behörde zu übermitteln und es seien die Dispositiv-Ziffern 1 und 2 der angefochtenen Verfügung dementsprechend anzupassen. 1a. Eventualiter seien die unter Ziffer 1 genannten Aktenstücke nur insoweit der ersuchenden Behörde zu übermitteln, als auf ihnen die ausser den An- geschuldigten C. und D. aufgeführten weiteren neun Personen vollumfäng- lich abgedeckt/unkenntlich gemacht werden, und es seien die Dispositiv- Ziffern 1 und 2 der angefochtenen Verfügung vollumfänglich aufzuheben. 2. Es seien auch die weiteren Bankunterlagen gemäss Dispositiv-Ziffer 2 der angefochtenen Verfügung nicht der ersuchenden Behörde zu übermitteln und es seien die diesbezüglichen Dispositiv-Ziffern 1 und 2 vollumfänglich aufzuheben. 3. Es seien die Vermögenswerte auf den gesperrten drei Konti Nr. 1 und Nr. 2 bei der Bank F. und Nr. 3 bei der Bank E. zu Gunsten der jeweiligen Be- schwerdeführerinnen freizugeben und es sei dementsprechend Dispositiv- Ziffer 3 der angefochtenen Verfügung vollumfänglich aufzuheben. 4. Unter Kosten- und Entschädigungsfolgen.“</w:t>
      </w:r>
    </w:p>
    <w:p>
      <w:r>
        <w:t>Das Bundesamt beantragt in seiner Beschwerdeantwort vom 22. August 2008 die Abweisung der Beschwerde (act. 10). Die Bundesanwaltschaft trägt am 29. August 2008 ebenfalls auf Abweisung der Beschwerde an, soweit darauf eingetreten werden könne (act. 11). Die A. Ltd. und B. Ltd. lassen innert erstreckter Frist mit Replik vom 24. Oktober 2008 an den ge- stellten Anträgen festhalten (act. 18). Das Bundesamt und die Bundesan- waltschaft wurden darüber am 27. Oktober 2008 in Kenntnis gesetzt (act. 19).</w:t>
      </w:r>
    </w:p>
    <w:p>
      <w:r>
        <w:t>E. Mit Schreiben vom 26. November 2008 macht der Vertreter der A. Ltd. und B. Ltd. geltend, die lettischen Behörden hätten die Vermögenssperren sei- ner Klientinnen aufgehoben. Aufgrund dessen seien die im Zusammenhang mit dem Rechtshilfeersuchen erlassenen Verfügungen vorbehaltlos aufzu- heben bzw. das Verfahren als gegenstandslos geworden vom Geschäfts- verzeichnis abzuschreiben (act. 20, 20.1, 21.1, 22.1). Das Bundesamt be- antragt in seiner diesbezüglichen Stellungnahme vom 10. Dezember 2008, den Anträgen sei nicht stattzugeben (act. 24). Die Bundesanwaltschaft be- antragt mit Stellungnahme vom 11. Dezember 2008 die Anträge abzuwei- sen, soweit darauf eingetreten werden könne (act. 25). A. Ltd. und B. Ltd. reichen innert angesetzter Frist keine weitere Stellungnahme dazu ein.</w:t>
      </w:r>
    </w:p>
    <w:p>
      <w:r>
        <w:t>Auf die weiteren Ausführungen der Parteien und die eingereichten Akten wird, soweit erforderlich, in den rechtlichen Erwägungen eingegangen.</w:t>
      </w:r>
    </w:p>
    <w:p>
      <w:r>
        <w:t>- 4 -</w:t>
      </w:r>
    </w:p>
    <w:p>
      <w:r>
        <w:t>Die II. Beschwerdekammer zieht in Erwägung:</w:t>
      </w:r>
    </w:p>
    <w:p>
      <w:r>
        <w:t>1.</w:t>
      </w:r>
    </w:p>
    <w:p>
      <w:r>
        <w:t>1.1 Für die Rechtshilfe zwischen Lettland und der Schweiz ist in erster Linie das Europäische Übereinkommen vom 20. April 1959 über die Rechtshilfe in Strafsachen (EUeR; SR 0.351.1), dem beide Staaten beigetreten sind, sowie das zu diesem Übereinkommen am 8. November 2001 ergangene zweite Zusatzprotokoll (2. ZP; SR 0.351.12) massgebend. Ebenso zur An- wendung kommt hier das Übereinkommen vom 8. November 1990 über Geldwäscherei sowie Ermittlung, Beschlagnahme und Einziehung von Er- trägen aus Straftaten (GwUe; SR 0.311.53). Soweit diese Staatsverträge bestimmte Fragen weder ausdrücklich noch stillschweigend regeln, bzw. das schweizerische Landesrecht geringere Anforderungen an die Rechts- hilfe stellt (BGE 129 II 462 E. 1.1), ist das Bundesgesetz vom 20. März 1981 über internationale Rechtshilfe in Strafsachen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1.2 Der Rat der Europäischen Union hat am 27. November 2008 die vollum- fängliche Anwendung der Assoziierungsabkommen zu Schengen und Dub- lin mit der Schweiz auf den 12. Dezember 2008 in Kraft gesetzt (Amtsblatt Nr. L 327 vom 5. Dezember 2008, S. 0015 – 0017; siehe auch Art. 25 Abs. 1 des Schengen Assoziierungsabkommens). Für den Bereich der in- ternationalen Rechtshilfe in Strafsachen findet gemäss konstanter Rechts- sprechung das im Augenblick des Entscheids jeweils geltende Recht An- wendung. Die verwaltungsrechtliche Natur des Rechtshilfeverfahrens schliesst die Anwendung des Grundsatzes der Nichtrückwirkung aus (Ent- scheid des Bundesgerichts 1A.96/2003 vom 25. Juni 2003, E. 2.2 und zi- tierte Entscheide). Aufgrund von Art. 2 Abs. 1 des Abkommens zwischen der Schweizerischen Eidgenossenschaft und der Europäischen Union über die Assoziierung die- ses Staates bei der Umsetzung, Anwendung und Entwicklung des Schen- gen-Besitzstands vom 26. Oktober 2004 (SR 0.360.268.1; nachfolgend „Schengen Assoziierungsabkommen“), werden die in Anhang A aufgeführ- ten Bestimmungen des Schengen-Besitzstands (ausgenommen jene im 1. Teil von Anhang A) von der Schweiz umgesetzt und angewendet, soweit sie zwischen den EU Mitgliedstaaten zur Anwendung gelangen. Gestützt darauf gelangen im Bereich der Rechtshilfe mit Lettland die Art. 48 ff. des Übereinkommens von Schengen vom 14. Juni 1985 zwischen den Regie-</w:t>
      </w:r>
    </w:p>
    <w:p>
      <w:r>
        <w:t>- 5 -</w:t>
      </w:r>
    </w:p>
    <w:p>
      <w:r>
        <w:t>rungen der Staaten der Benelux-Wirtschaftsunion, der Bundesrepublik Deutschland und der Französischen Republik betreffend den schrittweisen Abbau der Kontrollen an den gemeinsamen Grenzen (EULEX 42000A0922(02); Amtsblatt Nr. L 239 vom 22. September 2000, S. 0019 – 0062; nachfolgend „Schengen-Durchführungsübereinkommen“ SDÜ) zur Anwendung. Der Schengen Besitzstand ist von Lettland vollumfänglich übernommen worden (Art. 1 des Entscheids des Rats der Europäischen Union vom 27. November 2008). 1.3 Soweit vorliegend, wie sich nachfolgend zeigen wird, die massgeblichen Bestimmungen des SDÜ keine substantielle Änderung hinsichtlich der Vor- aussetzungen der Rechtshilfegewährung an den ersuchenden Staat im Vergleich zum bisherigen Vertragsrecht bewirken, erübrigt sich ein zusätz- licher Schriftenwechsel zur Frage des anwendbaren Rechts. 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12. Juni 2008 wurde mit vorliegender Be- schwerde vom 14. Juli 2008 fristgerecht angefochten.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Bankunterlagen dreier Konten der Beschwerdeführerinnen an die ersuchende Behörde herausgegeben werden sollen, sowie auf die Sperrung der Konten. Inhaber der Konten sind die Beschwerdeführerinnen. Damit sind sie beschwerdelegitimiert, weshalb auf ihre Beschwerde einzu- treten ist.</w:t>
      </w:r>
    </w:p>
    <w:p>
      <w:r>
        <w:t>- 6 -</w:t>
      </w:r>
    </w:p>
    <w:p>
      <w:r>
        <w:t>2.3 Der ursprüngliche Antrag der Beschwerdeführerinnen stellt im Verhältnis zu ihrem Antrag in der zusätzlichen Stellungnahme vom 26. November 2008 ein „Minus“ dar. Im Antrag in der Beschwerdeschrift verlangen sie weniger als in der darauffolgenden Stellungnahme; nämlich nur die Aufhebung der angefochtenen Verfügung, und nicht wie in der Stellungnahme zusätzlich das Verfahren als gegenstandslos geworden vom Geschäftsverzeichnis abzuschreiben. Nach abgelaufener Beschwerdefrist kann der Antrag nicht mehr erweitert, sondern höchstens präzisiert, eingeengt oder fallengelas- sen werden (ANDRÉ MOSER in AUER/MÜLLER/SCHINDLER, Kommentar zum Bundesgesetz über das Verwaltungsverfahren, Zürich/St. Gallen 2008, N 6 zu Art. 52). Das Bundesstrafgericht ist jedoch nicht an die Begehren der Parteien gebunden (Art. 25 Abs. 6 IRSG). Insofern kann ohne weiteres auch das Begehren auf Abschreibung des Verfahrens geprüft werden, dies umso mehr, als sich das neue Begehren auf vermeintlich neue Tatsachen stützt, die während der Litispendenz eingetreten sein sollen. Dies folgt aus der behördlichen Untersuchungspflicht und der Rechtsanwendung von Am- tes wegen. Der Entscheidung ist der Sachverhalt so zugrundezulegen, wie er sich im Zeitpunkt der Entscheidung verwirklicht hat und bewiesen ist (ALFRED KÖLZ / ISABELLE HÄNER, Verwaltungsverfahren und Verwaltungs- rechtspflege des Bundes, 2. Auflage, Zürich 1998, S. 220, Nr. 615). 3.</w:t>
      </w:r>
    </w:p>
    <w:p>
      <w:r>
        <w:t>3.1 Die Beschwerdeführerinnen machen eine ungenügende bzw. falsche Sach- verhaltsdarstellung geltend. Im Rechtshilfeersuchen werde etwa zu Unrecht behauptet, dass die G. Ltd., England im Zeitraum von September 2002 bis August 2003 rund USD 18 Mio. auf die H. SA überwiesen habe. Falsch sei ferner die Behauptung, die G. Ltd. habe im Jahre 2006 einen Umsatz von ca. USD 57 Mio. erzielt. Richtigerweise habe dieser lediglich USD 21.5 Mio. betragen. Die ungenaue Ermittlung des entscheidwesentlichen Sachver- halts durch die ersuchende Behörde ergebe sich auch aus dem Umstand, dass die Rechtsformen der einzelnen betroffenen Gesellschaften nicht kor- rekt bezeichnet worden seien. Aus dieser mangelhaften Darstellung des Sachverhaltes könne nicht in genüglicher Weise auf das Vorliegen einer strafbaren Handlung gemäss Art. 64 IRSG geschlossen werden (act. 1 Ziff. 23 mit Verweis auf die Beschwerde vom 9. August 2007 Ziff. 15 – 17, 22). 3.2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entsprechende Anforderungen an das</w:t>
      </w:r>
    </w:p>
    <w:p>
      <w:r>
        <w:t>- 7 -</w:t>
      </w:r>
    </w:p>
    <w:p>
      <w:r>
        <w:t>Rechtshilfeersuchen. Diese Angaben müssen der ersuchten Behörde aller- dings nur die Prüfung erlauben, ob die doppelte Strafbarkeit gegeben ist (vgl. Art. 5 Ziff. 1 lit. a EUeR; infra Ziff. 5), ob die Handlungen wegen denen um Rechtshilfe ersucht wird, nicht politische oder fiskalische Delikte dar- 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 desgerichts 1A.90/2006 und weitere vom 30. August 2006 E. 2.1; TPF 2007 150 E. 3.2.4). 3.3 Gemäss Rechtshilfeersuchen und Ergänzungen soll D., Bürgermeister von Z., im März 1994 Bestechungsgelder in Form von Unternehmensanteilen erpresst und angenommen haben. Er habe 20% Anteile der panamesi- schen Gesellschaft I. Inc., welche an der lettischen J. GmbH beteiligt sei, erhalten. Als Gegenleistung habe er der J. GmbH ermöglicht, sich ab dem</w:t>
      </w:r>
    </w:p>
    <w:p>
      <w:r>
        <w:rPr>
          <w:b/>
        </w:rPr>
        <w:t>E. 21</w:t>
      </w:r>
    </w:p>
    <w:p>
      <w:r>
        <w:t>Juli 2006 E. 2; 1A.183/2006 vom 1. Februar 2007 E. 1.2). Vorliegend machen die Beschwerdeführerinnen zwar geltend, die Freigabe der Ver- mögenswerten seien für sie von wirtschaftlich eminenter Bedeutung, legen jedoch nicht dar, inwiefern ihnen aufgrund der Beschlagnahmen und be- vorstehenden konkreten Auslagen ein unmittelbarer und nicht wieder gut- zumachender Nachteil droht. Eine (teilweise) Freigabe der beschlagnahm- ten Vermögenswerte aufgrund dringender Auslagen kommt daher nicht in Betracht (vgl. auch TPF RR.2007.7 – RR.2007.11 vom 27. Juni 2007 E. 3.4). 8.2 In einer späteren Eingabe haben die Beschwerdeführerinnen geltend ge- macht, die lettischen Behörden hätten die verfügten Vermögenssperren vorbehaltlos aufgehoben, weshalb die im Zusammenhang mit dem Rechts- hilfeersuchen erlassenen Verfügungen vorbehaltlos aufzuheben bzw. das Verfahren als gegenstandslos geworden vom Geschäftsverzeichnis abzu- schreiben sei (act. 20). Auf Nachfrage der Beschwerdegegnerin hin haben die lettischen Behörden mitgeteilt, dass lediglich die Kontosperren der R. Inc., H. SA, Q. Ltd. und V. aufgehoben werden dürften, nicht jedoch jene der Beschwerdeführerinnen. Damit erweist sich der Antrag, das Verfahren als gegenstandslos abzuschreiben, als unbegründet. 9. Die Beschwerde ist demzufolge abzuweisen, soweit darauf eingetreten wird.</w:t>
      </w:r>
    </w:p>
    <w:p>
      <w:r>
        <w:t>- 17 -</w:t>
      </w:r>
    </w:p>
    <w:p>
      <w:r>
        <w:t>10. Bei diesem Ausgang des Verfahrens werden die Beschwerdeführerinnen kostenpflichtig (Art. 63 Abs. 1 VwVG i.V.m. Art. 30 lit. b SGG). Für die Be- rechnung der Gerichtsgebühren gelangt das Reglement vom 11. Februar 2004 über die Gerichtsgebühren vor dem Bundesstrafgericht (SR 173.711.32) zur Anwendung (TPF RR.2007.6 vom 22. Februar 2007 E. 5). Die Gerichtsgebühren sind je auf Fr. 5'000.00 (vgl. Art. 3 des Reglements) festzusetzen, unter Anrechnung der geleisteten Kostenvorschüsse in glei- cher Höhe.</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