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 vom 23. Juli 2008</w:t>
      </w:r>
    </w:p>
    <w:p>
      <w:r>
        <w:t>Bundesstrafgericht, 2008-07-23, FR</w:t>
      </w:r>
    </w:p>
    <w:p>
      <w:r>
        <w:rPr>
          <w:b/>
        </w:rPr>
        <w:t xml:space="preserve">Quelle: </w:t>
      </w:r>
      <w:r>
        <w:t>https://mcp.opencaselaw.ch/entscheid/bstger_RR.2008.16</w:t>
      </w:r>
    </w:p>
    <w:p>
      <w:r>
        <w:t>FR: TPF RR.2008.16 du 23 juillet 2008</w:t>
      </w:r>
    </w:p>
    <w:p>
      <w:r>
        <w:t>IT: TPF RR.2008.16 del 23 luglio 2008</w:t>
      </w:r>
    </w:p>
    <w:p>
      <w:pPr>
        <w:pStyle w:val="Heading2"/>
      </w:pPr>
      <w:r>
        <w:t>Regeste</w:t>
      </w:r>
    </w:p>
    <w:p>
      <w:r>
        <w:t>Entraide judiciaire internationale en matière pénale à la Belgique Remise de documentation bancaire (art. 74 EIMP) et exécution simplifiée (art. 80c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rPr>
          <w:b/>
        </w:rPr>
        <w:t>E. 1.2</w:t>
      </w:r>
    </w:p>
    <w:p>
      <w:r>
        <w:t>La Belgique et la Suisse sont toutes deux parties à la Convention euro- péenne d'entraide judiciaire (CEEJ, RS 0.351.1). Peut également s'appli- quer en l'occurrence la Convention européenne relative au blanchiment, au dépistage, à la saisie et à la confiscation des produits du crime (CBl; RS 0.311.53), entrée en vigueur le 1er septembre 1993 pour la Suisse et le 1er mai 1998 pour l'Etat requérant. Les dispositions de ces traités l'empor- tent sur le droit interne régissant la matière, soit l'EIMP et son ordonnance d'exécution (OEIMP; RS 351.11), qui sont applicables aux questions non réglées, explicitement ou implicitement, par le droit conventionnel, et lors- que le droit interne est plus favorable à l'entraide que les traités (ATF 129 II 462 consid. 1.1 p. 464; 123 II 134 consid. 1a p. 136; 122 II 140 consid. 2 p. 142 et les arrêts cités). Le respect des droits fondamentaux est réservé (ATF 123 II 595 consid. 7c p. 617).</w:t>
      </w:r>
    </w:p>
    <w:p>
      <w:r>
        <w:rPr>
          <w:b/>
        </w:rPr>
        <w:t>E. 1.3</w:t>
      </w:r>
    </w:p>
    <w:p>
      <w:r>
        <w:t>En sa qualité de titulaire du compte n° 1, la société recourante a la qualité pour recourir contre la transmission à l’autorité belge de la documentation</w:t>
      </w:r>
    </w:p>
    <w:p>
      <w:r>
        <w:t>- 4 -</w:t>
      </w:r>
    </w:p>
    <w:p>
      <w:r>
        <w:t>bancaire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w:t>
      </w:r>
    </w:p>
    <w:p>
      <w:r>
        <w:t>La recourante estime que la décision querellée doit être annulée au pre- mier motif que les faits mentionnés à l’appui de la demande belge seraient contraires à la réalité et lacunaires. De l’avis de la recourante, l’état de faits présenté par le juge d’instruction belge ne permettrait en outre pas d’examiner si la condition de la double incrimination était réalisée.</w:t>
      </w:r>
    </w:p>
    <w:p>
      <w:r>
        <w:rPr>
          <w:b/>
        </w:rPr>
        <w:t>E. 2.1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L’art. 27 ch. 1 CBl pose des conditions analogues. Selon la jurisprudence, l'on ne saurait exiger de l'Etat requérant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 sid. 5e/aa p. 501; 118 Ib 111 consid. 5b p. 121/122).</w:t>
      </w:r>
    </w:p>
    <w:p>
      <w:r>
        <w:t>2.2.1 En l’espèce, l’enquête belge a pour origine une dénonciation de la Cellule de Traitement des Informations Financières (ci-après: CTIF) déposée le 26 septembre 2003 auprès du Parquet de Bruxelles. Dite dénonciation por- tait sur des transferts de fonds suspects effectués par la société russe M. en faveur de la société belge E., sur un compte ouvert au nom de cette dernière dans les livres de la banque N. en Belgique. Aucune réalité éco- nomique ne semblait justifier ces transactions. Dans la demande d’entraide du 29 août 2006, le juge d’instruction belge précise toutefois clairement que les investigations menées suite à cette dénonciation ont permis d’infirmer</w:t>
      </w:r>
    </w:p>
    <w:p>
      <w:r>
        <w:t>- 5 -</w:t>
      </w:r>
    </w:p>
    <w:p>
      <w:r>
        <w:t>les soupçons de la CTIF relatifs aux versements opérés par la société M. (act. 8.1, page 2: «après avoir exécuté une commission rogatoire en Rus- sie et avoir constaté la réalité économique des transferts effectués depuis Moscou vers Bruxelles […]»). Aux termes de la demande d’entraide, l’enquête a en revanche mis en lumière l’existence d’un transfert de fonds suspect survenu le 12 juillet 2002 entre la société E. et la société suisse D. (cf. B. ci-dessus). C’est par conséquent à tort que la recourante expose que l’autorité requérante tient pour suspects les versements effectués par la société M. en faveur de la société E. Certes, le style de rédaction condensé de la demande d’entraide peut porter à confusion. Il n’en de- meure pas moins que l’état de faits figurant dans la demande d’entraide n’est aucunement entaché d'erreur ou de contradiction manifestes au sens de la jurisprudence précitée, de sorte que l’entraide ne saurait être refusée au motif d’une violation des art. 28 EIMP, 14 CEEJ, respectivement 25 ch. 1 CBl. Les développements de la recourante visant à démontrer la légitimi- té des opérations commerciales intervenues entre la société M. et la socié- té E. sont au surplus inutiles, puisque cette légitimité a été expressément admise par les autorités requérantes.</w:t>
      </w:r>
    </w:p>
    <w:p>
      <w:r>
        <w:t>2.2.2 L'autorité requérante indique ne pas être en mesure de déterminer l’impli- cation exacte de B. dans l'activité criminelle liée à l’administration de la so- ciété belge I. Il n'est toutefois pas rare qu'une activité criminelle (corruption, trafics divers) soit découverte par le biais des profits réalisés (ATF 129 II 97 consid. 3.2). En l’espèce, il est manifeste que l'entraide est requise dans cette perspective. Selon la jurisprudence, cela correspond à la notion d'en- traide «la plus large possible» visée aux art. 1 CEEJ, 7 al. 1 et 8 CBl (ATF 129 II 97 consid. 3.2). Lorsqu'elle soupçonne une activité de blanchiment et sollicite l'entraide judiciaire à cet effet, l'autorité requérante n'a pas à indi- quer en quoi consisterait l'infraction principale (ATF 129 II 97 consid. 3.2; arrêt du Tribunal fédéral 1A.245/1996 du 6 décembre 1996, consid. 4b). En matière de blanchiment, l’autorité requérante ne doit pas nécessairement apporter la preuve de la commission des actes de blanchiment ou de l’infraction principale; de simples éléments concrets de soupçon sont suffi- sants sous l’angle de la double punissabilité (arrêt du Tribunal fédéral 1A.231/2003 du 6 février 2004, consid. 5.3; CARLO LOMBARDINI, Banques et blanchiment d’argent, Bâle/Genève 2006, p. 53, n. 169). La Suisse doit ainsi pouvoir accorder sa collaboration lorsque le soupçon de blanchiment est uniquement fondé sur l'existence de transactions suspectes. Tel est no- tamment le cas lorsqu’on est en présence de transactions dénuées de justi- fication apparente, d’utilisation de nombreuses sociétés réparties dans plu- sieurs pays, ou du silence du prévenu quant à l’origine des fonds (ATF 129 II 97 consid. 3.3; MARC FOSTER Internationale Rechtshilfe bei Geldwäsche-</w:t>
      </w:r>
    </w:p>
    <w:p>
      <w:r>
        <w:t>- 6 -</w:t>
      </w:r>
    </w:p>
    <w:p>
      <w:r>
        <w:t>reiverdacht, RPS 124/2006, p. 282 et références citées). L’importance des sommes mises en cause lors de transactions suspectes constitue égale- ment un critère de soupçon de blanchiment (arrêt du Tribunal fédéral 1A.188/2005 du 24 octobre 2005, consid. 2.4; TPF RR.2008.11 du 3 juillet 2008, consid. 4.5 et références citées).</w:t>
      </w:r>
    </w:p>
    <w:p>
      <w:r>
        <w:t>En l’espèce, on comprend mal pour quelle raison la société belge E. – ad- ministrée par B. et C. – a conclu le 30 mars 1998 une convention (act. 1.18) en vue d’obtenir un crédit d’USD 2'000'000.-- auprès de la recourante – elle aussi administrée par B. et C. – alors que celle-ci ne disposait pas d’un tel montant. Il ressort en effet du dossier (déposition de J.; cf. supra let. B) que ce montant a été versé par la société chypriote L. L’intervention de la recourante comme intermédiaire entre les sociétés E. et L. apparaît dès lors suspecte car dépourvue de tout fondement économique. A cela s’ajoute que les sociétés D. et E. sont toutes deux contrôlées par les mê- mes personnes, et que l’exécution de la requête d’entraide a permis d’établir que B. est l’ayant droit économique du compte n 1. Au vu de ce faisceau d’indices de blanchiment, les soupçons des autorités belges rela- tifs au transfert de USD 500'000.-- opéré le 12 juillet 2002 de la société E. vers la société D. paraissent légitimes. Il n’est pas exclu que ce transfert, à première vue dépourvu de substrat économique réel, ne puisse servir à blanchir, par des opérations de compensation apparemment légales, des activités criminelles, notamment celles mentionnées dans la requête d’entraide (associations de malfaiteurs, faux en écritures et trafic d’armes). Compte tenu de la complexité de l’affaire et des renseignements dont dis- pose l'autorité requérante, celle-ci ne peut pas se montrer plus précise, rai- son pour laquelle il n'y a pas lieu de lui en faire grief. Au vu de la jurispru- dence citée au consid. 2.2.2, il n’y a guère de doute que, prima facie, les agissements décrits dans la requête tombent, en droit suisse, sous le coup de l'art. 305bis CP, ce qui suffit pour admettre la double incrimination.</w:t>
      </w:r>
    </w:p>
    <w:p>
      <w:r>
        <w:rPr>
          <w:b/>
        </w:rPr>
        <w:t>E. 3</w:t>
      </w:r>
    </w:p>
    <w:p>
      <w:r>
        <w:t>La recourante se plaint d’une violation du principe de proportionnalité. Elle conclut subsidiairement à ce que la seule documentation bancaire relative à la période de mars à décembre 2002 soit transmise à l’autorité requé- rante.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w:t>
      </w:r>
    </w:p>
    <w:p>
      <w:r>
        <w:t>- 7 -</w:t>
      </w:r>
    </w:p>
    <w:p>
      <w:r>
        <w:t>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3.2</w:t>
      </w:r>
    </w:p>
    <w:p>
      <w:r>
        <w:t>En l’espèce, l’ayant droit économique du compte litigieux est soupçonné de s'être prêté à des activités de blanchiment, qu’il peut avoir commises par le biais de l'ensemble des comptes bancaires dont il a la maîtrise, sans dis- tinction entre ses avoirs privés et ceux qui concernent son activité commer- ciale. Dans ces conditions, l'autorité d'exécution ne pouvait, sans faillir à sa mission, refuser la transmission des documents bancaires litigieux (v. arrêt du Tribunal fédéral 1A.210/2002 du 27 novembre 2002, consid. 4.2). Cette mesure était du reste expressément requise par l’autorité requérante. Au surplus, on ne voit pas ce qui justifierait de limiter la période des investiga- tions comme le propose la recourante. Une telle limitation n'aurait guère de sens puisque l’enquête étrangère tend à localiser le produit de l'infraction, le cas échéant dans la perspective d'une confiscation. L’enquête à l’étran- ger porte en effet sur des actes de blanchiment que l’ayant droit économi- que du compte litigieux est soupçonné avoir effectués en lien avec une in- fraction préalable qu’il aurait commise entre 1994 et 2000 (act. 8.1, avant- dernière page). Or le compte n° 1 a été ouvert en décembre 1997 (dossier MPC, pièces n° 000034 sv.). Dans ce contexte, il apparaît nécessaire que l'autorité requérante puisse prendre connaissance de l'ensemble de la ges- tion des comptes visés, afin de vérifier tant l'origine que la destination de l'intégralité des fonds, ce qui justifie la production de l'ensemble de la do- cumentation bancaire, même sur une période relativement étendue (v. arrêt du Tribunal fédéral 1A.277/2006 du 13 mars 2007, consid. 3.3). En matière de blanchiment d’argent, lors de la transmission de documents bancaires, l’autorité requise doit en effet s’assurer de transmettre non seulement les</w:t>
      </w:r>
    </w:p>
    <w:p>
      <w:r>
        <w:t>- 8 -</w:t>
      </w:r>
    </w:p>
    <w:p>
      <w:r>
        <w:t>relevés bancaires, mais également les avis de virement, afin de pouvoir re- tracer le cheminement des fonds (ATF 130 II 14 consid. 4.1). Cette solution est conforme à la jurisprudence selon laquelle, lorsque la demande vise à vérifier l'existence de fonds d'origine délictueuse, il convient d'informer l'Etat requérant de toutes les transactions opérées sur les comptes impli- qués dans l'affaire (arrêt du Tribunal fédéral 1A.277/2006 du 13 mars 2007, consid. 3.3). Il sied enfin de rappeler que la commission rogatoire belge a pour but la manifestation de la vérité. Dans ce sens, l’entraide vise non seulement à recueillir des preuves à charge, mais également à décharge (TPF RR.2007.29 du 30 mai 2007, consid 4.2; ATF 118 Ib 547 consid. 3a p. 552; ég. arrêt du Tribunal fédéral 1A.88/2006 du 22 juin 2006, consid. 5.3). Vu ce qui précède, la décision de transmission querellée ne viole pas le principe de la proportionnalité.</w:t>
      </w:r>
    </w:p>
    <w:p>
      <w:r>
        <w:rPr>
          <w:b/>
        </w:rPr>
        <w:t>E. 4</w:t>
      </w:r>
    </w:p>
    <w:p>
      <w:r>
        <w:t>La recourante reproche au MPC d’avoir violé l’art. 2 let. a EIMP, au motif que les faits mentionnés à l’appui de la demande belge seraient contraires à la réalité. L’allégation selon laquelle B. serait impliqué dans des associa- tions de malfaiteurs, faux en écritures et trafic d’armes violerait, en particu- lier, la présomption d’innocence.</w:t>
      </w:r>
    </w:p>
    <w:p>
      <w:r>
        <w:t>En sa qualité de personne morale ayant son siège hors de l’Etat requérant, la recourante n’est pas touchée par le défaut procédural qu’elle entend dé- noncer. De ce fait, elle n’a pas la qualité pour invoquer l'art. 2 let. a EIMP, excluant l'entraide lorsque la procédure étrangère n'est pas conforme aux principes de procédure garantis par la CEDH et le Pacte ONU II (RS 0.103.2; ATF 126 II 258 consid. 2/aa et les références citées). Il en dé- coule que le grief est irrecevable.</w:t>
      </w:r>
    </w:p>
    <w:p>
      <w:r>
        <w:rPr>
          <w:b/>
        </w:rPr>
        <w:t>E. 5</w:t>
      </w:r>
    </w:p>
    <w:p>
      <w:r>
        <w:t>La recourante reproche enfin au MPC d’avoir violé l’art. 80c EIMP en ayant d’ores et déjà communiqué à la Belgique, en mai 2007, certains documents bancaires la concernant, saisis auprès de la fiduciaire K. (act. 1, p. 21, ch. 73ss). Selon elle, le consentement donné par cette fiduciaire à la transmis- sion simplifiée était indu, s’agissant des documents bancaires concernant A.; le consentement de la fiduciaire ne pouvait porter que sur les docu- ments internes à ladite fiduciaire, et non sur des documents bancaires rele- vant exclusivement de la sphère secrète de la recourante. Cette dernière demande, en conséquence, qu’il soit fait interdiction au juge belge d’utiliser la documentation transmise par la voie simplifiée. Le MPC expose, pour sa part, que c’est la société fiduciaire O. qui a valablement donné son accord à la transmission simplifiée de la documentation concernant la société A.</w:t>
      </w:r>
    </w:p>
    <w:p>
      <w:r>
        <w:t>- 9 -</w:t>
      </w:r>
    </w:p>
    <w:p>
      <w:r>
        <w:t>saisie dans ses locaux lors d’une perquisition du 28 mars 2007 (act. 7 et 7.3). Selon l’autorité d’exécution, la recourante n’aurait pas qualité pour agir, au sens de l’art. 80h let. b EIMP, contre une transmission simplifiée ef- fectuée sur la base du consentement d’une société tierce perquisitionnée.</w:t>
      </w:r>
    </w:p>
    <w:p>
      <w:r>
        <w:rPr>
          <w:b/>
        </w:rPr>
        <w:t>E. 5.1</w:t>
      </w:r>
    </w:p>
    <w:p>
      <w:r>
        <w:t>Lorsque des avocats ou des fiduciaires détiennent des documents bancai- res, ils le font généralement en raison d'un mandat qui les lie à leur client, pour lequel ils déploient une activité propre; par conséquent, si la jurispru- dence présume généralement que les documents saisis auprès d'une ban- que ne concernent pas sa propre gestion, il faut partir de la prémisse in- verse à l'égard des fiduciaires et des avocats, de sorte que ces derniers sont en principe seuls habilités à recourir en tant que personnes soumises à une mesure de perquisition (art. 9a let. b OEIMP; TPF RR.2007.101 du 12 juillet 2007, consid. 2.1; arrêt du Tribunal fédéral 1A.293/2004 du 18 mars 2005, consid. 2.3). En l’espèce, rien ne justifie de s’écarter des principes dégagés par la jurisprudence constante, selon laquelle la per- sonne concernée par des documents saisis en mains tierces n'a pas qualité pour agir, quand bien même ces documents contiennent des informations à son sujet (ATF 130 II 162 consid. 1.1 p. 164 et la jurisprudence citée). En sa qualité de mandante de la société fiduciaire saisie, la société A. n’est par conséquent pas habilitée à recourir. Le grief est donc irrecevable.</w:t>
      </w:r>
    </w:p>
    <w:p>
      <w:r>
        <w:rPr>
          <w:b/>
        </w:rPr>
        <w:t>E. 5.2</w:t>
      </w:r>
    </w:p>
    <w:p>
      <w:r>
        <w:t>Au surplus, quand bien même le grief eût été recevable, selon la jurispru- dence, lorsque des renseignements ou moyens de preuve ont fait l'objet d'une transmission prématurée, quelle qu'en soit la cause, le vice peut en- core être réparé par la suite lorsqu'il apparaît, après avoir permis aux par- ties intéressées de faire valoir leurs objections, que les conditions d'octroi de l'entraide judiciaire sont réalisées et que les documents litigieux doivent de toute façon aboutir en mains de l'autorité requérante (ATF 125 II 238 consid. 6a p. 246). Tel est bien le cas en l'espèce.</w:t>
      </w:r>
    </w:p>
    <w:p>
      <w:r>
        <w:rPr>
          <w:b/>
        </w:rPr>
        <w:t>E. 6</w:t>
      </w:r>
    </w:p>
    <w:p>
      <w:r>
        <w:t>Sur le vu de ce qui précède, le recours doit être rejeté, dans la mesure où il est recevable. Les frais de procédure sont mis à la charge de la recourante qui succombe (art. 63 al. 1 PA, applicable par renvoi de l’art. 30 let. b LTPF). L’émolument judiciaire, calculé conformément à l’art. 3 du Règle- ment du 11 février 2004 fixant les émoluments judiciaires perçus par le Tri- bunal pénal fédéral (RS 173.711.32; TPF RR.2007.26 du 9 juillet 2007, consid. 9.1), est fixé en l’espèce à Fr. 5'000.--,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