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RR.2008.130 vom 29. August 2008</w:t>
      </w:r>
    </w:p>
    <w:p>
      <w:r>
        <w:t>Bundesstrafgericht, 2008-08-29, IT</w:t>
      </w:r>
    </w:p>
    <w:p>
      <w:r>
        <w:rPr>
          <w:b/>
        </w:rPr>
        <w:t xml:space="preserve">Quelle: </w:t>
      </w:r>
      <w:r>
        <w:t>https://mcp.opencaselaw.ch/entscheid/bstger_RR.2008.130</w:t>
      </w:r>
    </w:p>
    <w:p>
      <w:r>
        <w:t>FR: TPF RR.2008.130 du 29 août 2008</w:t>
      </w:r>
    </w:p>
    <w:p>
      <w:r>
        <w:t>IT: TPF RR.2008.130 del 29 agosto 2008</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la II Corte dei reclami penali è competente per statuire sui re- clami in materia di assistenza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italo-svizzero). Alle questioni che il prevalente diritto internazionale conte- nuto in detti trattati non regola espressamente o implicitamente, come pure quando il diritto nazionale sia più favorevole all'assistenza rispetto a quello pattizio, si applicano la legge federale sull'assistenza internazionale in ma- teria penale del 20 marzo 1981 (AIMP; RS 351.1), unitamente alla relativa ordinanza (OAIMP; RS 351.11; v. art. 1 cpv. 1 AIMP, art. I n. 2 dell'Accordo italo-svizzero; DTF 124 II 180 consid. 1a; 123 II 134 consid. 1a; 122 II 140 consid. 2). È fatto salvo il rispetto dei diritti fondamentali (DTF 123 II 595 consid. 7c, con rinvii dottrinali).</w:t>
      </w:r>
    </w:p>
    <w:p>
      <w:r>
        <w:rPr>
          <w:b/>
        </w:rPr>
        <w:t>E. 1.3</w:t>
      </w:r>
    </w:p>
    <w:p>
      <w:r>
        <w:t>Interposto tempestivamente contro la decisione di chiusura del MPC (v. art. 80k AIMP), il ricorso, che contro il provvedimento di trasmissione ha effetto sospensivo per legge (art. 21 cpv. 4 lett. b e 80l cpv. 1 AIMP; TPF 2007 79 consid. 1.5), è ricevibile sotto il profilo dell'art. 80e cpv. 1 in relazione con l'art. 25 cpv. 1 AIMP. La legittimazione del ricorrente, titolare del conto og- getto della criticata misura d'assistenza, è pacifica (v. art. 80h lett. b AIMP e</w:t>
      </w:r>
    </w:p>
    <w:p>
      <w:r>
        <w:t>- 4 -</w:t>
      </w:r>
    </w:p>
    <w:p>
      <w:r>
        <w:t>art. 9a OAIMP; DTF 118 Ib 547 consid. 1d; TPF 2007 79 consid. 1.6 pag. 82).</w:t>
      </w:r>
    </w:p>
    <w:p>
      <w:r>
        <w:rPr>
          <w:b/>
        </w:rPr>
        <w:t>E. 2</w:t>
      </w:r>
    </w:p>
    <w:p>
      <w:r>
        <w:t>L'insorgente lamenta una violazione del principio della proporzionalità, per avere il MPC ordinato la trasmissione di documenti irrilevanti e inutili per il procedimento estero, procedendo in realtà ad una ricerca indiscriminata di prove.</w:t>
      </w:r>
    </w:p>
    <w:p>
      <w:r>
        <w:rPr>
          <w:b/>
        </w:rPr>
        <w:t>E. 2.1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tale valuta- zione, all'autorità estera che conduce le indagini (DTF 132 II 81 consid. 2.1 e rinvii). La richiesta di assunzione di prove può essere rifiutata solo se il principio della proporzionalità, nella limitata misura in cui può esser applica- to in procedure rette dalla CEAG (DTF 121 II 241 consid. 3c; 113 Ib 157 consid. 5a pag. 165; 112 Ib 576 consid. 13d pag. 603; ROBERT ZIMMERMANN, La coopération judiciaire international en matière pénale, 2a ediz., Berna 2004, pag. 513 e segg. n. 476), sia manifestamente disatteso (DTF 120 Ib 251 consid. 5c; TPF RR.2007.18 del 21 maggio 2007, con- sid. 6.3, non pubblicato in TPF 2007 57) o se la domanda appaia abusiva, le informazioni richieste essendo del tutto inidonee a far progredire le inda- gini (DTF 122 II 134 consid. 7b; 121 II 241 consid. 3a). È di rilievo, non da ultimo, il principio giurisprudenzialmente consolidato dell'utilità potenziale, secondo il quale non vengono trasmessi all'autorità rogante soltanto quei mezzi di prova certamente privi di rilevanza per il procedimento penale all'estero (DTF 126 II 258 consid. 9c pag. 264; 122 II 367 consid. 2c; 121 II 241 consid. 3a e b). Vietata in particolare è la cosiddetta fishing expedition, la quale è definita dalla giurisprudenza una ricerca generale ed indeterminata di mezzi di prova volta a fondare un sospetto senza che esi- stano pregressi elementi concreti a sostegno dello stesso (DTF 125 II 65 consid. 6b/aa pag. 73 e rinvii). Questo genere di inchieste non è consentito in ambito di assistenza internazionale sia alla luce del principio della spe- cialità che di quello della proporzionalità (PETER POPP, Grundzüge der in- ternationalen Rechtshilfe in Strafsachen, Basilea 2001, pag. 280 n. 414 e pag. 204 e seg. n. 309). Tale divieto si fonda semplicemente sul fatto che è inammissibile procedere a casaccio nella raccolta delle prove (DTF 113 Ib 257 consid. 5c).</w:t>
      </w:r>
    </w:p>
    <w:p>
      <w:r>
        <w:rPr>
          <w:b/>
        </w:rPr>
        <w:t>E. 2.2</w:t>
      </w:r>
    </w:p>
    <w:p>
      <w:r>
        <w:t>Nella fattispecie, il conto "G." è stato oggetto di alcuni accrediti effettuati dalle società I. e J., società riconducibili direttamente o indirettamente agli indagati. Risulta dunque del tutto giustificato verificare se gli importi confluiti</w:t>
      </w:r>
    </w:p>
    <w:p>
      <w:r>
        <w:t>- 5 -</w:t>
      </w:r>
    </w:p>
    <w:p>
      <w:r>
        <w:t>sul conto in questione siano di origine criminale – ipotesi che in realtà nemmeno il ricorrente esclude (v. ricorso, pag. 9 e seg.) - e se vi siano altre operazioni che necessitano degli approfondimenti. La documentazione bancaria di cui è stata contestata la trasmissione, oltre a riguardare un pe- riodo non escluso dall'autorità rogante nell'ambito delle sue indagini (v. act. 7.1, pag. 3), è necessaria nella sua totalità, ragione per cui il principio della proporzionalità è certamente ossequiato. Giova infatti rilevare che, quando le autorità estere chiedono informazioni su conti bancari in procedimenti per reati patrimoniali o corruttivi, esse necessitano di tutta la documenta- zione bancaria. Ciò perché debbono poter individuare il titolare giuridico ed economico del conto e sapere a quali persone sia pervenuto l'eventuale provento del reato. Al riguardo non è quindi decisivo che gli accrediti in e- same siano avvenuti in un'epoca anteriore a quella dei prospettati reati, né lo è l'ammontare dei versamenti. La trasmissione dell'intera documentazio- ne potrà evitare altresì l'inoltro di eventuali domande complementari. Si trat- ta di una maniera di procedere necessaria, se del caso, ad accertare anche l'estraneità del ricorrente (DTF 129 II 462 consid. 5.5; sentenze del Tribu- nale federale 1A.182/2006 del 9 agosto 2007, consid. 2.3 e 3.2; 1A.52/2007 del 20 luglio 2007, consid. 2.1.3; 1A.227/2006 del 22 febbraio 2007, consid. 3.2; 1A.195/2005 del 1° settembre 2005 in fine; 1A.79/2005 del 27 aprile 2005, consid. 4.1). Costatata la sufficiente relazione tra le mi- sure d'assistenza richieste e l'oggetto del procedimento penale estero (DTF 129 II 462 consid. 5.3; 125 II 65 consid. 6b/aa; 122 II 367 consid. 2c), spetterà al giudice estero del merito valutare l'effettiva connessione tra la documentazione bancaria sequestrata e i fatti perseguiti all'estero. Risulta comunque evidente che l'autorità rogante non si sta assolutamente muo- vendo a caso nella sua ricerca di materiale probatorio, soprattutto se, come nella fattispecie, la domanda di assistenza menziona in maniera precisa le coordinate della relazione bancaria oggetto della decisione impugnata non- ché le operazioni bancarie sospette. Tenuto conto di tutto quanto precede, vi è da concludere che la domanda di assistenza estera non costituisce una fishing expedition e che la trasmissione della documentazione litigiosa non viola né il principio dell'utilità potenziale né quello della proporzionalità.</w:t>
      </w:r>
    </w:p>
    <w:p>
      <w:r>
        <w:rPr>
          <w:b/>
        </w:rPr>
        <w:t>E. 3</w:t>
      </w:r>
    </w:p>
    <w:p>
      <w:r>
        <w:t>Discende da quanto precede che il ricorso deve essere respinto. Le spese seguono la soccombenza (v. art. 63 cpv. 1 PA richiamato l’art. 30 lett. b LTPF). La competenza del Tribunale penale federale di disciplinare i detta- gli relativi alla determinazione delle tasse di giustizia si fonda sull’art. 15 cpv. 1 lett. a LTPF e sulla relativa giurisprudenza (v. sentenze TPF RR.2007.17 del 30 aprile 2007, consid. 2; RR.2007.6 del 22 febbraio 2007, consid. 5; RR.2007.31 del 21 marzo 2007, consid. 4). La tassa di giustizia è calcolata conformemente all’art. 3 del Regolamento sulle tasse di giustizia</w:t>
      </w:r>
    </w:p>
    <w:p>
      <w:r>
        <w:t>- 6 -</w:t>
      </w:r>
    </w:p>
    <w:p>
      <w:r>
        <w:t>del Tribunale penale federale (RS 173.711.32) ed è fissata nella fattispecie a fr. 5'000.-.</w:t>
      </w:r>
    </w:p>
    <w:p>
      <w:r>
        <w:t>- 7 -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