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RR.2008.126 vom 24. Juli 2008</w:t>
      </w:r>
    </w:p>
    <w:p>
      <w:r>
        <w:t>Bundesstrafgericht, 2008-07-24, FR</w:t>
      </w:r>
    </w:p>
    <w:p>
      <w:r>
        <w:rPr>
          <w:b/>
        </w:rPr>
        <w:t xml:space="preserve">Quelle: </w:t>
      </w:r>
      <w:r>
        <w:t>https://mcp.opencaselaw.ch/entscheid/bstger_RR.2008.126</w:t>
      </w:r>
    </w:p>
    <w:p>
      <w:r>
        <w:t>FR: TPF RR.2008.126 du 24 juillet 2008</w:t>
      </w:r>
    </w:p>
    <w:p>
      <w:r>
        <w:t>IT: TPF RR.2008.126 del 24 luglio 2008</w:t>
      </w:r>
    </w:p>
    <w:p>
      <w:pPr>
        <w:pStyle w:val="Heading2"/>
      </w:pPr>
      <w:r>
        <w:t>Regeste</w:t>
      </w:r>
    </w:p>
    <w:p>
      <w:r>
        <w:t>Entraide judiciaire internationale en matière pénale à la Belgique</w:t>
      </w:r>
    </w:p>
    <w:p>
      <w:pPr>
        <w:pStyle w:val="Heading2"/>
      </w:pPr>
      <w:r>
        <w:t>Erwägungen</w:t>
      </w:r>
    </w:p>
    <w:p>
      <w:r>
        <w:rPr>
          <w:b/>
        </w:rPr>
        <w:t>E. 1.1</w:t>
      </w:r>
    </w:p>
    <w:p>
      <w:r>
        <w:t>En vertu de l’art. 28 al. 1 let. e ch. 1 LTPF, mis en relation avec les art. 80e al. 1 EIMP et 9 al. 3 du Règlement du Tribunal pénal fédéral du 20 juin 2006 (RS 173.710), la IIe Cour des plaintes du Tribunal pénal fédéral est compétente pour connaître des recours dirigés contre les décisions de clô- ture de la procédure d’entraide rendues par l’autorité fédérale d’exécution.</w:t>
      </w:r>
    </w:p>
    <w:p>
      <w:r>
        <w:t>- 5 -</w:t>
      </w:r>
    </w:p>
    <w:p>
      <w:r>
        <w:rPr>
          <w:b/>
        </w:rPr>
        <w:t>E. 1.2</w:t>
      </w:r>
    </w:p>
    <w:p>
      <w:r>
        <w:t>La Belgique et la Suisse sont toutes deux parties à la Convention euro- péenne d'entraide judiciaire (CEEJ; RS 0.351.1). Peut également s'appli- quer en l'occurrence la Convention européenne relative au blanchiment, au dépistage, à la saisie et à la confiscation des produits du crime (CBl; RS 0.311.53), entrée en vigueur le 1er septembre 1993 pour la Suisse et le 1er mai 1998 pour l'Etat requérant. Les dispositions de ces traités l'empor- tent sur le droit interne régissant la matière, soit l'EIMP et son ordonnance d'exécution (OEIMP; RS 351.11), qui sont applicables aux questions non réglées, explicitement ou implicitement, par le droit conventionnel, et lors- que le droit interne est plus favorable à l'entraide que les traités (ATF 129 II 462 consid. 1.1 p. 464; 123 II 134 consid. 1a p. 136; 122 II 140 consid. 2 p. 142 et les arrêts cités). Le respect des droits fondamentaux est réservé (ATF 123 II 595 consid. 7c p. 617).</w:t>
      </w:r>
    </w:p>
    <w:p>
      <w:r>
        <w:rPr>
          <w:b/>
        </w:rPr>
        <w:t>E. 2.1</w:t>
      </w:r>
    </w:p>
    <w:p>
      <w:r>
        <w:t>Qualité pour recourir de la succursale de Z. de la société A.</w:t>
      </w:r>
    </w:p>
    <w:p>
      <w:r>
        <w:t>La question de la capacité d’ester en justice de la succursale dans le cadre de la procédure d’entraide a été laissée ouverte par le Tribunal fédéral dans un arrêt du 24 février 2006 (1A.329/2005 consid. 1.1). Dans un arrêt du 27 janvier 2004, la Haute Cour fédérale a reconnu à une société mère la qualité pour recourir contre une ordonnance autorisant des enquêteurs étrangers à consulter des documents saisis dans les locaux de sa succur- sale (arrêt du Tribunal fédéral 1A.277/2003, consid. 1.2). La Cour de céans a laissé la question de la capacité d’ester en justice de la succursale ou- verte dans un arrêt du 8 novembre 2007 (RR.2007.94 consid. 3.2).</w:t>
      </w:r>
    </w:p>
    <w:p>
      <w:r>
        <w:t>Dans un arrêt du 7 avril 1994, la Chambre des poursuites et faillites du Tri- bunal fédéral a jugé que la succursale, bien que jouissant d'une certaine autonomie, était dépourvue d'existence juridique et n'avait pas la capacité d'ester en justice, ni celle d'être poursuivie (ATF 120 III 11 consid. 1a et les références citées). Il en découle que la succursale n’est pas habilitée à poursuivre ni à être poursuivie pour ses affaires au siège spécial institué par l'art. 5 LFors; en réalité, c'est la société et non la succursale qui peut actionner ou être recherchée à ce for pour des affaires qui relèvent de l'ac- tivité de celle-ci (idem). De même, dans un arrêt du 5 juillet 2004 rendu en matière de procédure pénale nationale, la Haute Cour fédérale a jugé irre- cevable le recours formé au nom d’une succursale inscrite au registre du commerce de Genève, estimant que, du fait de son absence de personnali- té juridique propre, la succursale était dépourvue de la capacité d'être par- tie à une procédure judiciaire (arrêt du Tribunal fédéral 1P.318/2004,</w:t>
      </w:r>
    </w:p>
    <w:p>
      <w:r>
        <w:t>- 6 -</w:t>
      </w:r>
    </w:p>
    <w:p>
      <w:r>
        <w:t>consid. 2). Le principe selon lequel la jouissance de la personnalité juridi- que est une condition de la qualité pour agir en justice est également consacré par la doctrine (PASCAL MONTAVON, Droit suisse de la SA, 3e éd., Lausanne 2004, p. 165 sv.; ARTHUR MEIER-HAYOZ/PETER FORSTMOSER, Schweizerisches Gesellschaftsrecht, 9e éd., Berne 2004, p. 603; HEINZ HAUSHEER/REGINA E. AEBI-MÜLLER, Das Personenrecht des schweizeris- chen Zivilgesetzbuches, Berne 2005, p. 281 et 293; ALFRED KÖLZ/ISABELLE HÄNER, Verwaltungsverfahren und Verwaltungsrechtspflege des Bundes, 2e éd., Zurich 1998, n° 260 ss). Il n’y a pas lieu de déroger à ce principe en matière d’entraide pénale internationale, de sorte qu’en l’espèce le recours formé par la succursale de Z. de la société A. doit être déclaré irrecevable.</w:t>
      </w:r>
    </w:p>
    <w:p>
      <w:r>
        <w:rPr>
          <w:b/>
        </w:rPr>
        <w:t>E. 2.2</w:t>
      </w:r>
    </w:p>
    <w:p>
      <w:r>
        <w:t>Qualité pour recourir de B. et des sociétés F. et D.</w:t>
      </w:r>
    </w:p>
    <w:p>
      <w:r>
        <w:rPr>
          <w:b/>
        </w:rPr>
        <w:t>E. 2.2.1</w:t>
      </w:r>
    </w:p>
    <w:p>
      <w:r>
        <w:t>La qualité pour agir contre une mesure d'entraide judiciaire est reconnue à celui qui est touché personnellement et directement et a un intérêt digne de protection à ce qu’elle soit annulée ou modifiée (art. 80h let. b EIMP). La personne visée par la procédure pénale étrangère peut recourir aux mê- mes conditions (art. 21 al. 3 EIMP). Aux termes de l’art. 9a OIMP, est no- tamment réputé personnellement et directement touché au sens de ces dispositions le titulaire d'un compte bancaire dont les pièces sont saisies (let. a), le propriétaire ou le locataire qui doit se soumettre personnellement à une perquisition ou à une saisie (let. b; ATF 118 Ib 442 consid. 2c, concernant la saisie de documents en mains d'une banque; ATF 121 II 38, concernant la remise du dossier d'une procédure civile à laquelle l'intéressé est partie) et le détenteur en cas de mesures concernant un véhicule à mo- teur (let. c). La jurisprudence constante dénie en revanche cette qualité au détenteur économique d'un compte bancaire visé par la demande, ou à l'auteur de documents saisis en mains d'un tiers (ATF 116 Ib 106 consid. 2a), même si la transmission des renseignements requis entraîne la révélation de son identité (ATF 115 Ib 156 consid. 2a et les arrêts cités), ainsi qu'au témoin, dans la mesure où il n'est pas amené à fournir des in- formations sur sa propre personne (ATF 126 II 258 consid. 2d/bb p. 261; pour un résumé de la jurisprudence relative à la qualité pour recourir, cf. ATF 122 II 130 ainsi que TPF RR.2007.79 du 21 mai 2007, consid. 1.6). Dans l'ATF 128 II 211 consid. 2.2 p. 216-217, le Tribunal fédéral a jugé que l'établissement bancaire n'a pas qualité pour recourir contre la transmission de documents relatifs à un compte détenu par un client, dans la mesure où ces documents ne contiennent rien sur la gestion des propres affaires de la banque. Plus récemment, la Haute Cour fédérale a précisé que le cas des avocats et des fiduciaires devait en principe être réglé différemment de ce-</w:t>
      </w:r>
    </w:p>
    <w:p>
      <w:r>
        <w:t>- 7 -</w:t>
      </w:r>
    </w:p>
    <w:p>
      <w:r>
        <w:t>lui des banques. Ces dernières mettent en effet à disposition de leurs clients certaines prestations liées à l'ouverture et à l'utilisation de comptes, sans forcément intervenir activement dans la gestion de ces derniers; en revanche, lorsque des avocats ou des fiduciaires détiennent des docu- ments bancaires, ils le font généralement en raison d'un mandat qui les lie à leur client, pour lequel ils déploient une activité propre; par conséquent, si la jurisprudence présume généralement que les documents saisis auprès d'une banque ne concernent pas sa propre gestion, il faut partir de la pré- misse inverse à l'égard des fiduciaires et des avocats; ces derniers sont donc seuls habilités à recourir en tant que personnes soumises à une me- sure de perquisition (art. 9a let. b OEIMP; arrêt du Tribunal fédéral 1A.293/2004 du 18 mars 2005, consid. 2.3). Cette jurisprudence s'attache à ne pas étendre exagérément le cercle des personnes admises à s'opposer aux mesures d'entraide, et à simplifier autant que possible la tâche de l'au- torité d'exécution au moment de notifier ses décisions (arrêt du Tribunal fé- déral 1A.293/2004 du 18 mars 2005, consid. 2.3).</w:t>
      </w:r>
    </w:p>
    <w:p>
      <w:r>
        <w:rPr>
          <w:b/>
        </w:rPr>
        <w:t>E. 2.2.2</w:t>
      </w:r>
    </w:p>
    <w:p>
      <w:r>
        <w:t>En l’espèce, rien ne justifie de s’écarter des principes dégagés par la juris- prudence constante selon laquelle la personne concernée par des docu- ments saisis en mains tierces n'a pas qualité pour agir, quand bien même ces documents contiennent des informations à son sujet (v. TPF RR.2007.101 du 12 juillet 2007, consid. 2; ATF 130 II 162 consid. 1.1 p. 164 et la jurisprudence citée). En leur qualité de mandants de la société fiduciaire saisie (act. 1, p. 6), B. et les sociétés F. et D. ne sont par consé- quent pas habilités à recourir.</w:t>
      </w:r>
    </w:p>
    <w:p>
      <w:r>
        <w:rPr>
          <w:b/>
        </w:rPr>
        <w:t>E. 3</w:t>
      </w:r>
    </w:p>
    <w:p>
      <w:r>
        <w:t>Vu ce qui précède, le recours doit être déclaré irrecevable, sans qu’il y ait lieu d’examiner l’argumentation soulevée au fond.</w:t>
      </w:r>
    </w:p>
    <w:p>
      <w:r>
        <w:rPr>
          <w:b/>
        </w:rPr>
        <w:t>E. 4</w:t>
      </w:r>
    </w:p>
    <w:p>
      <w:r>
        <w:t>Les frais de procédure sont mis à la charge solidaire des recourants qui succombent (art. 63 al. 1 PA, applicable par renvoi de l’art. 30 let. b LTPF). L’émolument judiciaire d’ensemble, calculé conformément à l’art. 3 du Rè- glement du 11 février 2004 fixant les émoluments judiciaires perçus par le Tribunal pénal fédéral (RS 173.711.32; TPF RR.2007.26 du 9 juillet 2007, consid. 9.1), est fixé en l’espèce à Fr. 6’000.--, couvert par l’avance de frais de Fr. 7'000.-- déjà versée. Le solde de l’avance effectuée par les recou- rants, soit Fr. 1'000.--, leur sera par conséquent restitué.</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