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RR.2008.125 vom 2. September 2008</w:t>
      </w:r>
    </w:p>
    <w:p>
      <w:r>
        <w:t>Bundesstrafgericht, 2008-09-02, IT</w:t>
      </w:r>
    </w:p>
    <w:p>
      <w:r>
        <w:rPr>
          <w:b/>
        </w:rPr>
        <w:t xml:space="preserve">Quelle: </w:t>
      </w:r>
      <w:r>
        <w:t>https://mcp.opencaselaw.ch/entscheid/bstger_RR.2008.125</w:t>
      </w:r>
    </w:p>
    <w:p>
      <w:r>
        <w:t>FR: TPF RR.2008.125 du 2 septembre 2008</w:t>
      </w:r>
    </w:p>
    <w:p>
      <w:r>
        <w:t>IT: TPF RR.2008.125 del 2 settembre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competente per statuire sui re- clami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w:t>
      </w:r>
    </w:p>
    <w:p>
      <w:r>
        <w:t>- 4 -</w:t>
      </w:r>
    </w:p>
    <w:p>
      <w:r>
        <w:t>(CEAG;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Alle questioni che il prevalente diritto internazionale conte- nuto in detti trattati non regola espressamente o implicitamente, come pure quando il diritto nazionale sia più favorevole all'assistenza rispetto a quello pattizio, si applicano la legge federale sull'assistenza internazionale in ma- teria penale del 20 marzo 1981 (AIMP; RS 351.1), unitamente alla relativa ordinanza (OAIMP; RS 351.11; v. art. 1 cpv. 1 AIMP, art. I n. 2 dell'Accordo completivo; DTF 124 II 180 consid. 1a; 123 II 134 consid. 1a; 122 II 140 consid. 2). È fatto salvo il rispetto dei diritti fondamentali (DTF 123 II 595 consid. 7c, con rinvii dottrinali).</w:t>
      </w:r>
    </w:p>
    <w:p>
      <w:r>
        <w:rPr>
          <w:b/>
        </w:rPr>
        <w:t>E. 1.3</w:t>
      </w:r>
    </w:p>
    <w:p>
      <w:r>
        <w:t>Il termine di ricorso contro una decisione di chiusura è di trenta giorni (art. 80k AIMP). Secondo l'art. 80m cpv. 1 AIMP, l'autorità d'esecuzione e l'autorità di ricorso notificano le loro decisioni: all'avente diritto abitante in Svizzera (lett. a) e all'avente diritto residente all'estero, se ha eletto domici- lio in Svizzera (lett. b). L'art. 9 OAIMP precisa che la parte, o il suo patroci- natore, che abiti all'estero deve eleggere un domicilio in Svizzera dove possano esserle fatte le notificazioni. In caso contrario, le notificazioni po- tranno essere omesse. L'art. 80n cpv. 1 AIMP, dal canto suo, prevede che il detentore di documenti ha il diritto d'informare il suo mandante dell'esi- stenza di una domanda e di tutti i fatti ad essa connessi, se l'autorità com- petente non l'ha esplicitamente vietato, a titolo eccezionale, comminandogli le sanzioni penali di cui all'art. 292 CP. Nella fattispecie, la ricorrente non è domiciliata in Svizzera, Paese nel quale non ha neppure eletto un domicilio per la notifica. Il MPC non era dunque tenuto ad inviare le decisioni di chiu- sura del 9 aprile 2008 al domicilio della ricorrente all'estero. Essendo state tali decisioni notificate ad un terzo, ossia alla banca, resta da determinare il momento a partire dal quale il termine di ricorso è cominciato a decorrere.</w:t>
      </w:r>
    </w:p>
    <w:p>
      <w:r>
        <w:rPr>
          <w:b/>
        </w:rPr>
        <w:t>E. 1.4</w:t>
      </w:r>
    </w:p>
    <w:p>
      <w:r>
        <w:t>La decorrenza del termine di ricorso inizia, anche in assenza di una notifica formale, allorquando l'interessato ha avuto effettivamente conoscenza della decisione. Secondo la giurisprudenza, la comunicazione di una decisione ad un istituto bancario non vale, in sé, quale comunicazione al titolare del conto. In effetti, la banca non appare, nei confronti dell'autorità d'esecuzio- ne, come il rappresentante dei suoi clienti (DTF 120 Ib 183 consid. 3a). Di- versa è la situazione allorquando il cliente ha dato istruzioni alla propria banca di non trasmettergli comunicazioni, adottando il sistema denominato "fermo banca". In questi casi, le comunicazioni notificate alla banca sono opponibili al cliente come se le avesse effettivamente ricevute ed il relativo termine di ricorso inizia a decorrere dal momento in cui il cliente avrebbe ri- cevuto l'informazione necessaria dalla banca, se questa gliel'avesse comu-</w:t>
      </w:r>
    </w:p>
    <w:p>
      <w:r>
        <w:t>- 5 -</w:t>
      </w:r>
    </w:p>
    <w:p>
      <w:r>
        <w:t>nicata senza ritardi (v. DTF 124 II 124 consid. 2d/aa e giurisprudenza cita- ta; ROBERT ZIMMERMANN, La coopération judiciaire internationale en ma- tière pénale, 2a ed., Berna 2004, n. 317-1, pag. 362 e seg.).</w:t>
      </w:r>
    </w:p>
    <w:p>
      <w:r>
        <w:t>In concreto, dagli atti dell'incarto risulta che la ricorrente ha concluso con la propria banca una convenzione di "fermo banca" (v. act. 9.1), escludendo tuttavia, in maniera esplicita, gli atti giudiziari, i quali devono essere inoltrati all'ultimo indirizzo conosciuto del cliente (v. act. 9.1, lett. A, paragrafo 3). Va rilevato che a seguito della riorganizzazione della banca G., la convenzione di "fermo banca", inizialmente stipulata per il conto n. 1 presso la banca G., è stata automaticamente estesa alla relazione n. 2 presso la banca H. dopo il trasferimento del conto n. 1 presso la banca G. al conto n. 2 presso la banca H.. Orbene, è d'uopo rilevare che tale clausola impone unicamente alla banca, su base contrattuale (quindi sul piano interno), di immediata- mente avvisare il proprio cliente dell'esistenza di una decisione giudiziaria, dandogli quindi la possibilità di reagire subito, ma nulla muta al principio giurisprudenziale applicabile in caso di "fermo banca", secondo il quale la notifica effettuata all'istituto bancario è opponibile al cliente (v. sentenza del Tribunale federale 1A.274/2003 del 30 agosto 2004, consid. 7.1 e 7.2; PAOLO BERNASCONI, Rogatorie penali italo-svizzere, Milano 1997, pag. 302). I rischi, e quindi le conseguenze, legati alla mancata comunicazione alla banca di un recapito - quindi anche di un nuovo recapito - per la tra- smissione di atti giudiziari devono essere di principio assunti dal cliente, il quale deve fornire al proprio istituto bancario informazioni che permettano allo stesso di contattarlo e di informarlo in maniera più sicura e rapida pos- sibile (DTF 124 II 124 consid. 2d/dd; sentenza 1A.274/2003 consid. 7.1; Messaggio del 29 marzo 1995 concernente la modifica della LAIMP e della LTAGSU [FF 1995 III pag. 34]; v. anche PAOLO BERNASCONI, op. cit., pag. 302). Tale approccio, che potrebbe sembrare severo nei confronti del cliente, è necessario per garantire la celerità della procedura (art. 17a AIMP) e la certezza del diritto. Il pericolo di abusi in ambito procedurale è particolarmente concreto in presenza di convenzioni di "fermo banca" (DTF 124 II 124 consid. 2d/dd e rinvii; sentenza 1A.274/2003 consid. 7.2). Nella fattispecie, la ricorrente non ha certamente fatto tutto il possibile per essere avvertita degli atti ad essa destinati, ciò che è provato dal fatto che la banca, che era a conoscenza dell'esistenza della presente procedura ro- gatoriale già dal febbraio risp. marzo 2008 (v. act. 9.3 e 9.4) e alla quale non è mai stato imposto un divieto d'informazione sulla base dell'art. 292 CP, ha potuto rintracciarla solo un mese dopo aver ricevuto le decisioni qui impugnate. La ricorrente deve dunque sopportare le conseguenze legate alla sua irreperibilità o ad eventuali errori commessi dalla sua banca (v. sentenza 1A.274/2003 consid. 7.3). Più precisamente, dato che le deci- sioni di chiusura del 9 aprile 2008 sono state notificate alla banca il 10 apri-</w:t>
      </w:r>
    </w:p>
    <w:p>
      <w:r>
        <w:t>- 6 -</w:t>
      </w:r>
    </w:p>
    <w:p>
      <w:r>
        <w:t>le seguente (v. act. 11.1), il gravame, datato 29 maggio 2008 (timbro posta- le del 30 maggio 2008), è da considerarsi ampiamente tardivo.</w:t>
      </w:r>
    </w:p>
    <w:p>
      <w:r>
        <w:rPr>
          <w:b/>
        </w:rPr>
        <w:t>E. 2</w:t>
      </w:r>
    </w:p>
    <w:p>
      <w:r>
        <w:t>Discende da quanto precede che il ricorso deve essere dichiarato inam- missibile. Le spese seguono la soccombenza (v. art. 63 cpv. 1 PA richia- mato l’art. 30 lett. b LTPF). La competenza del Tribunale penale federale di disciplinare i dettagli relativi alla determinazione delle tasse di giustizia si fonda sull’art. 15 cpv. 1 lett. a LTPF e sulla relativa giurisprudenza (v. sen- tenze TPF RR.2007.17 del 30 aprile 2007, consid. 2; RR.2007.6 del 22 febbraio 2007, consid. 5; RR.2007.31 del 21 marzo 2007, consid. 4). La tassa di giustizia è calcolata conformemente all’art. 3 del Regolamento sul- le tasse di giustizia del Tribunale penale federale (RS 173.711.32) ed è fis- sata nella fattispecie a fr. 4'000.-.</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