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RR.2008.123 vom 11. Juni 2008</w:t>
      </w:r>
    </w:p>
    <w:p>
      <w:r>
        <w:t>Bundesstrafgericht, 2008-06-11, FR</w:t>
      </w:r>
    </w:p>
    <w:p>
      <w:r>
        <w:rPr>
          <w:b/>
        </w:rPr>
        <w:t xml:space="preserve">Quelle: </w:t>
      </w:r>
      <w:r>
        <w:t>https://mcp.opencaselaw.ch/entscheid/bstger_RR.2008.123</w:t>
      </w:r>
    </w:p>
    <w:p>
      <w:r>
        <w:t>FR: TPF RR.2008.123 du 11 juin 2008</w:t>
      </w:r>
    </w:p>
    <w:p>
      <w:r>
        <w:t>IT: TPF RR.2008.123 del 11 giugno 2008</w:t>
      </w:r>
    </w:p>
    <w:p>
      <w:pPr>
        <w:pStyle w:val="Heading2"/>
      </w:pPr>
      <w:r>
        <w:t>Regeste</w:t>
      </w:r>
    </w:p>
    <w:p>
      <w:r>
        <w:t>Entraide internationale en matière pénale à la Belgique Révision (art. 31 LTPF)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février 2004 fixant les émoluments judiciaires perçus par le Tribunal pé- nal fédéral (RS 173.711.32; TPF RR.2007.26 du 9 juillet 2007, consid. 9.1) est fixé en l’espèce à Fr. 4'000.--, couvert par l’avance de frais déjà versée.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