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RR.2008.122 vom 15. September 2008</w:t>
      </w:r>
    </w:p>
    <w:p>
      <w:r>
        <w:t>Bundesstrafgericht, 2008-09-15, IT</w:t>
      </w:r>
    </w:p>
    <w:p>
      <w:r>
        <w:rPr>
          <w:b/>
        </w:rPr>
        <w:t xml:space="preserve">Quelle: </w:t>
      </w:r>
      <w:r>
        <w:t>https://mcp.opencaselaw.ch/entscheid/bstger_RR.2008.122</w:t>
      </w:r>
    </w:p>
    <w:p>
      <w:r>
        <w:t>FR: TPF RR.2008.122 du 15 septembre 2008</w:t>
      </w:r>
    </w:p>
    <w:p>
      <w:r>
        <w:t>IT: TPF RR.2008.122 del 15 settembre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ri- corsi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entrata in vigore il 1° settembre 1993 per la Svizzera ed il 1° maggio 1994 per l’Italia (RS 0.311.53; in seguito: la Con- venzione sul riciclaggio). Alle questioni che il prevalente diritto internaziona- le contenuto in detti trattati non regola espressamente o implicitamente,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completivo; DTF 124 II 180 consid. 1a; 123 II 134 consid. 1a; 122 II 140 consid. 2). È fatto salvo il rispetto dei diritti fonda- mentali (DTF 123 II 595 consid. 7c, con rinvii dottrinali).</w:t>
      </w:r>
    </w:p>
    <w:p>
      <w:r>
        <w:rPr>
          <w:b/>
        </w:rPr>
        <w:t>E. 1.3</w:t>
      </w:r>
    </w:p>
    <w:p>
      <w:r>
        <w:t>Interposto tempestivamente contro la decisione di chiusura del MPC, con- giuntamente alla decisione incidentale anteriore, il ricorso, che contro il provvedimento di trasmissione ha effetto sospensivo per legge (art. 21 cpv. 4 lett. b e 80l cpv. 1 AIMP; TPF 2007 79 consid. 1.5), è ricevibile sotto il profilo dell'art. 80e cpv. 1 in relazione con l'art. 25 cpv. 1 AIMP. La legit- timazione del ricorrente, titolare dei conti oggetto della criticata misura</w:t>
      </w:r>
    </w:p>
    <w:p>
      <w:r>
        <w:t>- 4 -</w:t>
      </w:r>
    </w:p>
    <w:p>
      <w:r>
        <w:t>d'assistenza, è pacifica (v. art. 80h lett. b AIMP e art. 9a OAIMP; DTF 118 Ib 547 consid. 1d; TPF 2007 79 consid. 1.6 pag. 82).</w:t>
      </w:r>
    </w:p>
    <w:p>
      <w:r>
        <w:rPr>
          <w:b/>
        </w:rPr>
        <w:t>E. 1.4</w:t>
      </w:r>
    </w:p>
    <w:p>
      <w:r>
        <w:t>In materia di “altra assistenza” le censure ammissibili nelle impugnative contro le decisioni dell’autorità d’esecuzione sono in primo luogo elencate all’art. 80i AIMP. Il ricorrente può far valere la violazione del diritto federale, compreso l’eccesso o l’abuso del potere di apprezzamento, nonché l’appli- cazione inammissibile o manifestamente inesatta del diritto straniero nei casi di cui all’art. 65 AIMP. La II Corte dei reclami penali sindaca inoltre l’accertamento inesatto o incompleto di fatti giuridicamente rilevanti nonché l’adeguatezza della decisione impugnata giusta l’art. 49 lett. b e c PA (TPF 2007 57 consid. 3.2).</w:t>
      </w:r>
    </w:p>
    <w:p>
      <w:r>
        <w:rPr>
          <w:b/>
        </w:rPr>
        <w:t>E. 2</w:t>
      </w:r>
    </w:p>
    <w:p>
      <w:r>
        <w:t>Secondo il ricorrente l'esposto dei fatti presentato dall'autorità rogante nella sua domanda di assistenza sarebbe incompleto, ciò che avrebbe impedito all'autorità rogata di correttamente valutare l'adempimento delle condizioni alla base della cooperazione, giungendo la stessa ad una decisione di chiu- sura erronea. In questo senso, vi sarebbe stata una violazione del diritto federale ed un'inesatta ed incompleta valutazione di fatti pertinenti.</w:t>
      </w:r>
    </w:p>
    <w:p>
      <w:r>
        <w:rPr>
          <w:b/>
        </w:rPr>
        <w:t>E. 2.1</w:t>
      </w:r>
    </w:p>
    <w:p>
      <w:r>
        <w:t>Gli art. 14 CEAG, 27 Convenzione sul riciclaggio e 28 AIMP esigono in so- 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pag. 121, 547 consid. 3a; 117 Ib 64 consid. 5c pag. 88). Ciò non implica per lo Stato richiedente l'obbligo di provare la commissione del reato, ma solo quello di esporre in modo sufficiente le cir- costanze sulle quali fonda i propri sospetti, per permettere allo Stato richie- sto di distinguere la domanda da un'inammissibile ricerca indiscriminata di prove (v. su questo tema DTF 129 II 97 consid. 3.1; 125 II 65 consid. 6b/aa pag. 73; 122 II 367 consid. 2c). L'esame della colpevolezza è riservato al giudice straniero del merito, non a quello svizzero dell'assistenza (DTF 113 Ib 276 consid. 3a; 112 Ib 576 consid. 3).</w:t>
      </w:r>
    </w:p>
    <w:p>
      <w:r>
        <w:rPr>
          <w:b/>
        </w:rPr>
        <w:t>E. 2.2</w:t>
      </w:r>
    </w:p>
    <w:p>
      <w:r>
        <w:t>Dal complemento rogatoriale del 31 gennaio 2005 e dall'informazione di ga- ranzia del 20 luglio 2006 (v. atto 2 MPC) risultano con sufficiente chiarezza i fatti illeciti rimproverati all'indagato all'estero. Egli è sospettato di essersi associato ad altre persone per compiere una serie di atti corruttivi e truffe aggravati nonché altri reati connessi alla riscossione delle tangenti. Gli in- dagati avrebbero concordato con diverse ditte attive nel campo dell'energia percentuali di vario importo sul valore degli appalti e/o forniture, sia in cam- bio dell'aggiudicazione delle gare, sia per l'indebita agevolazione nella fase</w:t>
      </w:r>
    </w:p>
    <w:p>
      <w:r>
        <w:t>- 5 -</w:t>
      </w:r>
    </w:p>
    <w:p>
      <w:r>
        <w:t>esecutiva (per costi extra e varianti da approvare). Il ricorrente, nella sua veste d'intermediario, avrebbe funto da elemento di collegamento tra le im- prese partecipanti alle gare e le strutture interne (compresi gli organismi decisionali) di diverse società. Egli sarebbe inoltre stato la persona in grado di fornire dati ed informazioni riservate utili per la determinazione dei prezzi e degli sconti da inserire nelle offerte. Quanto precede è di per sé sufficien- te per motivare la necessità dell'autorità rogante di approfondire la situazio- ne e valutare la posizione del ricorrente. I documenti di cui l'autorità d'ese- cuzione ha ordinato la trasmissione all'estero dovranno permettere di me- glio chiarire i fatti oggetto dell'inchiesta italiana. In questo senso, l'esposto dei fatti contenuto nel complemento rogatoriale del 31 gennaio 2005, ulte- riormente completato dall'informazione di garanzia del 20 luglio 2006, adempie le esigenze legali richieste. Sotto questo profilo non vi è dunque stata violazione del diritto, né vi sono elementi per ritenere che la valuta- zione dei fatti pertinenti sia stata inesatta o incompleta.</w:t>
      </w:r>
    </w:p>
    <w:p>
      <w:r>
        <w:rPr>
          <w:b/>
        </w:rPr>
        <w:t>E. 3</w:t>
      </w:r>
    </w:p>
    <w:p>
      <w:r>
        <w:t>L'insorgente lamenta una violazione del principio della proporzionalità, per avere il MPC ordinato la trasmissione di documenti irrilevanti ed inutili per il procedimento estero.</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tale valutazio- ne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La coopération judiciaire internationale en matière pénale, 2° ediz., Berna 2004, pag. 513 e segg. n. 476), sia manifestamente disatte- so (DTF 120 Ib 251 consid. 5c; TPF RR.2007.18 del 21 maggio 2007, con- sid. 6.3) o se la domanda appaia abusiva, le informazioni richieste essendo del tutto inidonee a far progredire le indagini (DTF 122 II 134 consid. 7b; 121 II 241 consid. 3a). È di rilievo, non da ultimo, il principio giurispruden- zialmente consolidato dell'utilità potenziale, secondo il quale non vengono trasmessi all'autorità rogante soltanto quei mezzi di prova certamente privi di rilevanza per il procedimento penale all'estero (DTF 126 II 258 consid. 9c pag. 264; 122 II 367 consid. 2c; 121 II 241 consid. 3a e b).</w:t>
      </w:r>
    </w:p>
    <w:p>
      <w:r>
        <w:rPr>
          <w:b/>
        </w:rPr>
        <w:t>E. 3.2</w:t>
      </w:r>
    </w:p>
    <w:p>
      <w:r>
        <w:t>Nella fattispecie, il conto n. 1 presso la banca B. di Lugano, di pertinenza del ricorrente, è stato oggetto di svariati accrediti provenienti da un conto</w:t>
      </w:r>
    </w:p>
    <w:p>
      <w:r>
        <w:t>- 6 -</w:t>
      </w:r>
    </w:p>
    <w:p>
      <w:r>
        <w:t>denominato "C." intestato a D., co-indagato nell'inchiesta italiana (v. atti 7- 11 MPC). Il ricorrente non nega d'altronde di aver ricevuto a più riprese de- naro da D. (v. ricorso pag. 9, 15 e 16). Risulta dunque del tutto giustificato verificare se gli importi confluiti sul conto del ricorrente siano di origine cri- minale e se esistano altre operazioni che necessitano approfondimenti. La documentazione bancaria di cui è stata contestata la trasmissione, riguarda altresì un periodo compreso nel quadro temporale del campo d'indagine dell'autorità rogante (v. atto 2, pag. 31 e segg., MPC), ragione per cui risul- ta necessaria nella sua totalità. Giova infatti rilevare che, quando le autorità estere chiedono informazioni su conti bancari in procedimenti per reati pa- trimoniali o corruttivi, esse necessitano di tutta la documentazione banca- ria. Ciò perché debbono poter individuare il titolare giuridico ed economico del conto e sapere a quali persone sia pervenuto l'eventuale provento del reato. Al riguardo non è quindi decisivo che gli accrediti in esame siano av- venuti in un'epoca anteriore a quella dei prospettati reati, né lo è l'ammon- tare dei versamenti. La trasmissione dell'intera documentazione potrà evita- re altresì l'inoltro di eventuali domande complementari. Si tratta di una ma- niera di procedere necessaria, se del caso, ad accertare anche l'estraneità dell'interessato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(DTF 129 II 462 consid. 5.3; 125 II 65 consid. 6b/aa; 122 II 367 consid. 2c), spetterà al giudice este- ro del merito valutare l'effettiva connessione tra la documentazione banca- ria sequestrata e i fatti perseguiti all'estero. Riassumendo, la decisione im- pugnata non è dunque in urto con il principio della proporzionalità.</w:t>
      </w:r>
    </w:p>
    <w:p>
      <w:r>
        <w:rPr>
          <w:b/>
        </w:rPr>
        <w:t>E. 4</w:t>
      </w:r>
    </w:p>
    <w:p>
      <w:r>
        <w:t>Il ricorrente sostiene che il MPC avrebbe violato il suo diritto di essere sen- tita omettendo di dargli la possibilità di partecipare alla cernita della docu- mentazione da trasmettere all'estero. La criticata decisione non sarebbe inoltre sufficientemente motivata.</w:t>
      </w:r>
    </w:p>
    <w:p>
      <w:r>
        <w:rPr>
          <w:b/>
        </w:rPr>
        <w:t>E. 4.1</w:t>
      </w:r>
    </w:p>
    <w:p>
      <w:r>
        <w:t>Secondo la giurisprudenza, l'autorità di esecuzione, dopo aver concesso al detentore la possibilità di addurre i motivi che si opporrebbero alla tras- missione di determinati atti e la facoltà di partecipare alla necessaria cer- nita, ha l'obbligo di motivare accuratamente la decisione di chiusura (DTF 130 II 14 consid. 4.4 pag. 18). La cernita della documentazione non spetta quindi esclusivamente all'autorità di esecuzione. Essa non potrebbe infatti ordinare in modo acritico e indeterminato la trasmissione dei docu- menti, delegandone in maniera inammissibile agli inquirenti esteri la cernita (DTF 127 II 151 consid. 4c/aa pag. 155; 122 II 367 consid. 2c; 112 Ib 576</w:t>
      </w:r>
    </w:p>
    <w:p>
      <w:r>
        <w:t>- 7 -</w:t>
      </w:r>
    </w:p>
    <w:p>
      <w:r>
        <w:t>consid. 14a pag. 604). Questo compito spetta all'autorità svizzera d'esecu- zione che, in assenza di un eventuale consenso dei ricorrenti all'esecuzio- ne semplificata (art. 80c AIMP), prima di emanare una decisione di chiusu- ra, deve impartire alle persone toccate giusta l'art. 80h lett. b AIMP e art. 9a OAIMP un termine per addurre riguardo a ogni singolo documento gli ar- gomenti che secondo loro si opporrebbero alla consegna; questo affinché esse possano esercitare in maniera concreta ed effettiva il loro diritto di es- sere sentiti nel rispetto del principio della buona fede (v. art. 30 cpv. 1 PA; TPF RR.2007.96 del 24 settembre 2007, consid. 2.1). La cernita deve aver luogo anche qualora l'interessato rinunci ad esprimersi (DTF 130 II 14 con- sid. 4.3 e 4.4; 126 II 258 consid. 9b/aa pag. 262; cfr. anche DTF 127 II 151 consid. 4c/aa; ROBERT ZIMMERMANN, op. cit., n. 271, 479-1, 479-2).</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potere d’esame della autorità d’esecuzione stessa (v. DTF 124 II 132 consid. 2d; sentenza TPF RR.2007.24 dell’8 maggio 2007, consid. 3.3; ROBERT ZIMMERMANN, op. cit., pag. 307 n. 265; MICHELE ALBERTINI, op. cit., pag. 458 e segg.).</w:t>
      </w:r>
    </w:p>
    <w:p>
      <w:r>
        <w:t>Il diritto di ottenere una decisione motivata è parte integrante del diritto di essere sentito e deriva a sua volta dall'art. 29 cpv. 2 Cost. (sentenza del Tribunale federale 1P.57/2005 del 12 agosto 2005, consid. 2.3; MICHELE ALBERTINI, op. cit., pag. 400). L'art. 35 cpv. 1 PA prevede che le decisioni scritte, anche se notificate in forma di lettera, devono essere designate co- me tali, motivate, e indicare il rimedio giuridico. La motivazione può essere considerata sufficiente allorquando l'interessato è in misura di potersi ren- dere conto della decisione e di contestarla con cognizione di causa presso l'autorità di ricorso (DTF 126 I 15 consid. 2a/aa pag. 17; 125 II 369 con- sid. 2c; 124 II 146 consid. 2a, 124 V 180 consid. 1a e giurisprudenza citata; ROBERT ZIMMERMANN, op. cit., n. 273-1, pag. 320; BENOÎT BOVAY, Procé- dure administrative, Berne 2000, pag. 266 e segg.).</w:t>
      </w:r>
    </w:p>
    <w:p>
      <w:r>
        <w:t>- 8 -</w:t>
      </w:r>
    </w:p>
    <w:p>
      <w:r>
        <w:rPr>
          <w:b/>
        </w:rPr>
        <w:t>E. 4.2</w:t>
      </w:r>
    </w:p>
    <w:p>
      <w:r>
        <w:t>Nella fattispecie, l'autorità d'esecuzione, con scritto del 22 agosto 2005, ha correttamente sottoposto al ricorrente, prima dell'emanazione della decisio- ne di chiusura, tutta la documentazione bancaria sequestrata (v. atto 15 MPC), dandogli la possibilità, in ossequio al diritto di essere sentito, di esprimersi sulla loro trasmissione all'autorità rogante, ciò che il ricorrente ha fatto con la sua presa di posizione del 26 settembre 2005 (v. atto 12.1 MPC). La censura sollevata è dunque infondata. È d'uopo comunque ag- giungere, a titolo abbondanziale, che la persona toccata da una misura d'assistenza non può accontentarsi di assumere un'attitudine passiva: quando sa che delle misure di assistenza sono state adottate e che una decisione di trasmissione è imminente, in ossequio al principio della buona fede, ella deve intervenire presso l'autorità d'esecuzione, cercare di cono- scere gli atti di cui è prevista la trasmissione ed indicare precisamente quali di questi non dovrebbero essere fatti pervenire all'autorità estera (v. sen- tenza del Tribunale federale 1A.160/2003 del 10 settembre 2003, con- sid. 2.1 e 2.3 con rinvii; v. anche ROBERT ZIMMERMANN, op. cit., pag. 518 n. 479-1; CLÉMENCE GRISEL, L'obligation de collaborer des parties en pro- cédure administrative, tesi friburghese, Zurigo/Basilea/Ginevra 2008, pag. 102 e seg.). Per quanto riguarda la criticata motivazione della decisio- ne impugnata, va rilevato che gli elementi in essa contenuti sono stati cer- tamente sufficienti per permettere al ricorrente di comprenderne la portata e di interporre ricorso, ciò che è peraltro dimostrato dall'articolato e relati- vamente lungo atto ricorsuale inoltrato alla presente autorità. Anche tale censura va quindi disattesa. Si precisa tuttavia che, disponendo questa autorità di un pieno potere cognitivo in fatto e in diritto (v. TPF 2007 57) e avendo avuto il ricorrente la possibilità di consultare gli atti oggetto della decisione impugnata nonché di esprimersi compiutamente in sede di repli- ca sugli stessi e sulle osservazioni al ricorso del MPC, eventuali violazioni del predetto diritto sarebbero comunque sanate dalla presente procedura (v. DTF 124 II 132 consid. 2d; sentenza 1A.160/2003 consid. 2.2).</w:t>
      </w:r>
    </w:p>
    <w:p>
      <w:r>
        <w:rPr>
          <w:b/>
        </w:rPr>
        <w:t>E. 5</w:t>
      </w:r>
    </w:p>
    <w:p>
      <w:r>
        <w:t>Il ricorrente contesta il mantenimento del sequestro del suo conto.</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Ebbene, visto le conclusioni dei precedenti considerandi, è senz'altro possibile affermare che esistono elementi sufficienti per confermare il sequestro contestato. Toccherà poi all'autorità estera esaminare il contenuto della documentazio- ne di cui è stata ordinata la trasmissione e accertare l'eventuale provenien- za illecita dei fondi sequestrati. Dovessero i valori in questione essere effet-</w:t>
      </w:r>
    </w:p>
    <w:p>
      <w:r>
        <w:t>- 9 -</w:t>
      </w:r>
    </w:p>
    <w:p>
      <w:r>
        <w:t>tivamente il risultato d'infrazioni penali per le quali deve essere concessa l'assistenza giudiziaria, essi potrebbero fare l'oggetto di una decisione di confisca o di restituzione all'avente diritto nello Stato richiedente (v. art. 74a cpv. 1 e 2 AIMP; cfr. DTF 123 II 134 consid. 5c, 268 consid. 4, 595 con- sid. 3). Il sequestro di tali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Per quanto riguarda il pregiudizio economico cagionato dal sequestro, il ricorrente si è limitato ad affermare, in maniera del tutto gene- rica, che con tale misura gli sarebbe venuta a mancare qualsiasi fonte di sostentamento, senza però fornire ulteriori informazioni al riguardo. Anche da questo punto di vista il blocco in questione non presenta alcun elemento di sproporzionalità. Ne consegue che il sequestro va confermato e la relati- va censura respinta.</w:t>
      </w:r>
    </w:p>
    <w:p>
      <w:r>
        <w:rPr>
          <w:b/>
        </w:rPr>
        <w:t>E. 6</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Tribunale penale federale (RS 173.711.32) ed è fissata nella fattispecie a fr. 6'000.-.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