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RR.2008.117 vom 10. Juni 2008</w:t>
      </w:r>
    </w:p>
    <w:p>
      <w:r>
        <w:t>Bundesstrafgericht, 2008-06-10, DE</w:t>
      </w:r>
    </w:p>
    <w:p>
      <w:r>
        <w:rPr>
          <w:b/>
        </w:rPr>
        <w:t xml:space="preserve">Quelle: </w:t>
      </w:r>
      <w:r>
        <w:t>https://mcp.opencaselaw.ch/entscheid/bstger_RR.2008.117</w:t>
      </w:r>
    </w:p>
    <w:p>
      <w:r>
        <w:t>FR: TPF RR.2008.117 du 10 juin 2008</w:t>
      </w:r>
    </w:p>
    <w:p>
      <w:r>
        <w:t>IT: TPF RR.2008.117 del 10 giugno 2008</w:t>
      </w:r>
    </w:p>
    <w:p>
      <w:pPr>
        <w:pStyle w:val="Heading2"/>
      </w:pPr>
      <w:r>
        <w:t>Regeste</w:t>
      </w:r>
    </w:p>
    <w:p>
      <w:r>
        <w:t>Internationale Rechtshilfe in Strafsachen an Frankreich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Oktober 2007);</w:t>
      </w:r>
    </w:p>
    <w:p>
      <w:r>
        <w:t>- die Beschwerdeführer bei diesem Ausgang des Verfahrens daher kosten- pflichtig werden, wobei die Gerichtsgebühren auf je Fr. 300.-- anzusetzen sind (Art. 3 des Reglements vom 11. Februar 2004 über die Gerichtsgebüh- ren vor dem Bundesstrafgericht, SR 173.711.32; TPF RR.2007.6 vom 22. Februar 2007 E. 5).</w:t>
      </w:r>
    </w:p>
    <w:p>
      <w:r>
        <w:t>- 3 -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