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RR.2008.103 vom 18. Dezember 2008</w:t>
      </w:r>
    </w:p>
    <w:p>
      <w:r>
        <w:t>Bundesstrafgericht, 2008-12-18, FR</w:t>
      </w:r>
    </w:p>
    <w:p>
      <w:r>
        <w:rPr>
          <w:b/>
        </w:rPr>
        <w:t xml:space="preserve">Quelle: </w:t>
      </w:r>
      <w:r>
        <w:t>https://mcp.opencaselaw.ch/entscheid/bstger_RR.2008.103</w:t>
      </w:r>
    </w:p>
    <w:p>
      <w:r>
        <w:t>FR: TPF RR.2008.103 du 18 décembre 2008</w:t>
      </w:r>
    </w:p>
    <w:p>
      <w:r>
        <w:t>IT: TPF RR.2008.103 del 18 dicembre 2008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applicable à la présente cause par renvoi de l’art. 30 let. b LTPF,</w:t>
      </w:r>
    </w:p>
    <w:p>
      <w:r>
        <w:t>- 4 -</w:t>
      </w:r>
    </w:p>
    <w:p>
      <w:r>
        <w:t>l’institution de la jonction des causes est néanmoins admise en pratique (cf. TPF RR.2007.187-190 du 8 avril 2008, consid. 1).</w:t>
      </w:r>
    </w:p>
    <w:p>
      <w:r>
        <w:rPr>
          <w:b/>
        </w:rPr>
        <w:t>E. 1.3</w:t>
      </w:r>
    </w:p>
    <w:p>
      <w:r>
        <w:t>L’ordonnance attaquée par L. porte sur la transmission de documentation bancaire à l’autorité requérante. Les ordonnances faisant l’objet des re- cours formés respectivement par A. et M. portent sur la transmission de documentation bancaire, d’une part, et du procès-verbal d’audition à titre de témoin de G., acquis dans le cadre d’une procédure pénale suisse, d’autre part. Par souci de clarté, s’agissant en particulier de la lisibilité des considérants relatifs à la recevabilité des recours sur les différents points querellés, il ne se justifie pas, ainsi que proposé par l’OFJ, de joindre les causes RR.2008.102, RR.2008.103 et RR.2008.104.</w:t>
      </w:r>
    </w:p>
    <w:p>
      <w:r>
        <w:rPr>
          <w:b/>
        </w:rPr>
        <w:t>E. 2.1</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ci-après: l’accord bilatéral), conclu le 28 oc- tobre 1996 et entré en vigueur le 1er mai 2000.</w:t>
      </w:r>
    </w:p>
    <w:p>
      <w:r>
        <w:rPr>
          <w:b/>
        </w:rPr>
        <w:t>E. 2.2</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 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d’entraide,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t>- 5 -</w:t>
      </w:r>
    </w:p>
    <w:p>
      <w:r>
        <w:rPr>
          <w:b/>
        </w:rPr>
        <w:t>E. 2.3</w:t>
      </w:r>
    </w:p>
    <w:p>
      <w:r>
        <w:t>Dans la mesure où l’entrée en vigueur des dispositions pertinentes de la CAAS ne comporte guère, en l’espèce, de changement substantiel des conditions d’octroi de l’entraide à l’Etat requérant par rapport au droit conventionnel (cf. consid. 2.1), un échange d’écriture supplémentaire affé- rent au droit applicable n’a pas été nécessaire.</w:t>
      </w:r>
    </w:p>
    <w:p>
      <w:r>
        <w:rPr>
          <w:b/>
        </w:rPr>
        <w:t>E. 2.4</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2.5.1</w:t>
      </w:r>
    </w:p>
    <w:p>
      <w:r>
        <w:t>En sa qualité de titulaire du compte n° 1, le recourant a la qualité pour re- courir contre la transmission à l’autorité française de la documentation ban- caire relative à ce compte (art. 80h EIMP et art. 9a let. a OEIMP; ATF 126 II 258 consid. 2d/aa p. 260; 125 II 356 consid. 3b/bb p. 362; 123 II 161 consid. 1d/aa p. 164; 122 II 130 consid. 2a p. 132/133). Adressé dans les trente jours à compter de celui de la notification de la décision attaquée, le recours est recevable en la forme (art. 80k EIMP).</w:t>
      </w:r>
    </w:p>
    <w:p>
      <w:r>
        <w:rPr>
          <w:b/>
        </w:rPr>
        <w:t>E. 2.5.2</w:t>
      </w:r>
    </w:p>
    <w:p>
      <w:r>
        <w:t>Le recourant prétend être habilité à recourir contre la transmission du pro- cès-verbal d'audition de G.. Une telle faculté est reconnue au titulaire du compte uniquement si la transmission du procès-verbal équivaut matériel- lement à la remise de la documentation bancaire (ATF 124 II 180 consid. 2b p. 182). Tel ne semble pas être le cas en l’espèce, puisque les indica- tions fournies par G. ne précisent pas les références du compte du recou- rant, ni le détail des opérations (v. Arrêt du Tribunal fédéral 1A.243/2002 du 15 janvier 2003, consid. 1). La question peut toutefois rester indécise en l’espèce. Il est en effet constant que la qualité pour recourir contre la transmission équivalant à la remise de la documentation bancaire du pro- cès-verbal d'audition d’un tiers témoin n’est pas reconnue au titulaire de ce compte bancaire, lorsque la documentation y relative est transmise à l'Etat requérant au terme de la procédure d'entraide (Arrêt du Tribunal fédéral 1A.59/2005 du 26 avril 2005, consid. 3.3 et les références citées). En l'oc- currence, la documentation relative au compte au sujet duquel le témoin a fait des déclarations a été transmise à l'Etat requérant selon la décision de clôture du 1er avril 2008. Les griefs dirigés contre celle-ci devant être reje- tés (ci-dessous consid. 3), le recourant ne dispose plus d'un intérêt digne</w:t>
      </w:r>
    </w:p>
    <w:p>
      <w:r>
        <w:t>- 6 -</w:t>
      </w:r>
    </w:p>
    <w:p>
      <w:r>
        <w:t>de protection à s'opposer à la transmission du procès-verbal consignant ces déclarations.</w:t>
      </w:r>
    </w:p>
    <w:p>
      <w:r>
        <w:rPr>
          <w:b/>
        </w:rPr>
        <w:t>E. 3</w:t>
      </w:r>
    </w:p>
    <w:p>
      <w:r>
        <w:t>Le recourant se plaint d’une violation du principe de la double incrimination. Selon lui, la signature d’un contrat entre la société D. et la société C. ne saurait être qualifiée de «fait confidentiel» au sens de l’art. 161 al. 3 CP.</w:t>
      </w:r>
    </w:p>
    <w:p>
      <w:r>
        <w:rPr>
          <w:b/>
        </w:rPr>
        <w:t>E. 3.1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De même, à teneur de l’art. VIII let. a de l’accord bilatéral, l’entraide judiciaire consistant en une mesure coercitive quelconque peut être refusée si le fait qui a don- né lieu à la commission rogatoire n’est pas punissable selon le droit des deux Etats.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 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w:t>
      </w:r>
    </w:p>
    <w:p>
      <w:r>
        <w:rPr>
          <w:b/>
        </w:rPr>
        <w:t>E. 3.2</w:t>
      </w:r>
    </w:p>
    <w:p>
      <w:r>
        <w:t>Selon l'art. 161 ch. 1 CP, est punissable d’une peine privative de liberté de trois ans au plus ou d’une peine pécuniaire celui qui, notamment en qualité de membre du conseil d'administration ou de la direction d'une société anonyme, aura obtenu pour lui-même ou pour un tiers un avantage pécu- niaire en exploitant la connaissance qu'il a d'un fait confidentiel dont il est prévisible que la divulgation exerce une influence notable sur le cours de l'action négociée en bourse ou avant bourse.</w:t>
      </w:r>
    </w:p>
    <w:p>
      <w:r>
        <w:rPr>
          <w:b/>
        </w:rPr>
        <w:t>E. 3.2.1</w:t>
      </w:r>
    </w:p>
    <w:p>
      <w:r>
        <w:t>A teneur du ch. 3 de cette disposition, abrogé le 1er octobre 2008, étaient considérés comme faits, au sens du ch. 1, «l'émission imminente de nou- veaux droits de participation, un regroupement d'entreprises ou tout fait analogue d'importance comparable». Selon la jurisprudence, cette dernière notion devait être interprétée restrictivement, en ce sens que l'adoption d'une formulation tenant compte de faits non seulement «d'importance comparable», mais aussi «analogues» aux deux exemples retenus impli-</w:t>
      </w:r>
    </w:p>
    <w:p>
      <w:r>
        <w:t>- 7 -</w:t>
      </w:r>
    </w:p>
    <w:p>
      <w:r>
        <w:t>quait une ressemblance non seulement quantitative, mais aussi qualitative (ATF 118 Ib 547 consid. 4). Sous l’empire de l’ancien droit, l'analogie ne pouvait donc porter que sur les deux types d'opérations mentionnées à titre d'exemples; les faits confidentiels devaient dès lors concerner des modifi- cations structurelles internes (actionnariat) ou externes de la société, comme par exemple des divisions d'entreprises, des prises majoritaires de participations ou des assainissements par diminution de capital. Tel n'était pas le cas, en revanche des pertes ou des bénéfices importants (arrêt du Tribunal fédéral 1A.325/2000 du 5 mars 2001, consid. 2b). Le Tribunal fé- déral a eu l’occasion de préciser dans l’arrêt du 5 mars 2001 précité (consid. 2d), qu’il était regrettable que la Suisse, qui s’est dotée d'une norme applicable aux délits d'initiés surtout pour pouvoir donner suite aux demandes d'entraide étrangères, en ait circonscrit la portée de manière si étroite, mais que ces considérations téléologiques ne sauraient l'emporter sur le texte de la loi.</w:t>
      </w:r>
    </w:p>
    <w:p>
      <w:r>
        <w:t>Le chiffre 3 de l’art. 161 CP a été abrogé par le ch. I de la LF du 20 mars 2008, avec effet au 1er octobre 2008 (RO 2008 4501 4502; FF 2007 413). Dans son Message du 8 décembre 2006 concernant la modification du Co- de pénal suisse (suppression de l’art. 161, ch. 3, CP), le Conseil fédéral expose que «l’extension de la norme pénale sur le délit d’initié à tous les faits susceptibles d’influencer les cours est incontestée. La nécessité d’une telle mesure est reconnue tant par la doctrine et la jurisprudence que par les milieux économiques» (FF 2007 417). A teneur du Message, «il n’est guère possible de justifier objectivement la restriction de la norme pénale sur le délit d’initié à des faits tels que l’émission imminente de nouveaux droits de participation, le regroupement attendu d’entreprises ou tout autre fait analogue modifiant la structure de l’entreprise. L’exploitation de la con- naissance d’une fusion imminente ou d’un mauvais résultat d’activités compromet dans tous les cas l’égalité des chances entre investisseurs. (…). La suppression complète et définitive de l’actuel ch. 3 permettra non seulement d’inclure les avertissements sur pertes et bénéfices dans le champ d’application de la norme pénale sur le délit d’initié, (…), mais aussi d’étendre celui-ci à tous les faits confidentiels dont la publication est sus- ceptible d’exercer une influence notable sur le cours des titres concernés. Cette mesure apportera donc un très net élargissement du champ d’application de la norme pénale par rapport au droit actuel».</w:t>
      </w:r>
    </w:p>
    <w:p>
      <w:r>
        <w:rPr>
          <w:b/>
        </w:rPr>
        <w:t>E. 3.2.2</w:t>
      </w:r>
    </w:p>
    <w:p>
      <w:r>
        <w:t>La condition de la double incrimination s'examine au regard du droit en vigueur au moment où il est statué sur la demande d'entraide judiciaire, et non au moment de la commission du délit (ATF 122 II 422 consid. 2a p. 424; 112 Ib 576 consid. 2 p. 584; 109 Ib 60 consid. 2a p. 62). Le caractère</w:t>
      </w:r>
    </w:p>
    <w:p>
      <w:r>
        <w:t>- 8 -</w:t>
      </w:r>
    </w:p>
    <w:p>
      <w:r>
        <w:t>administratif de la procédure d'entraide exclut l'application des principes du droit pénal matériel, tels que ceux de la «lex mitior» ou de la non- rétroactivité de la loi pénale (arrêt du Tribunal fédéral 1A.96/2003 du 25 juin 2003, consid. 2.2). En l’espèce, il ne semble prima facie pas exclu que le contrat conclu entre la société D. et la société C. dont il est fait état dans la demande d’entraide du 3 août 2005 puisse être qualifié de fait confidentiel au sens de l’art. 161 CP. Au demeurant, pour les motifs qui suivent, l’entraide doit être accordée même si une telle qualification ne devait pas être possible.</w:t>
      </w:r>
    </w:p>
    <w:p>
      <w:r>
        <w:rPr>
          <w:b/>
        </w:rPr>
        <w:t>E. 3.3.1</w:t>
      </w:r>
    </w:p>
    <w:p>
      <w:r>
        <w:t>A teneur de l’art. 162 CP, celui qui aura révélé un secret de fabrication ou un secret commercial qu’il était tenu de garder en vertu d’une obligation lé- gale ou contractuelle et celui qui aura utilisé cette révélation à son profit ou à celui d’un tiers sera, sur plainte, puni d’une peine privative de liberté de trois ans au plus ou d’une peine pécuniaire. Constitue un secret au sens de cette disposition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 tamment de connaissances relatives à l'organisation, au calcul des prix, à la publicité et à la production (arrêt du Tribunal fédéral 6B_496/2007 du 9 avril 2008, consid. 5.1). Le comportement punissable au sens de l’art. 162 CP comporte deux variantes. Dans la première, la personne tenue au se- cret rend le secret accessible à une personne non autorisée; dans la se- conde, un tiers exploite cette révélation illicite, pour lui-même ou pour au- trui, étant entendu que la personne astreinte au secret ne peut pas être le tiers au sens de la seconde variante (ATF 109 Ib 57 consid. 5b).</w:t>
      </w:r>
    </w:p>
    <w:p>
      <w:r>
        <w:rPr>
          <w:b/>
        </w:rPr>
        <w:t>E. 3.3.2</w:t>
      </w:r>
    </w:p>
    <w:p>
      <w:r>
        <w:t>En l’espèce, la signature du contrat entre la société D. et la société C. a conduit à un élargissement notable du secteur d’activité de la société C. Il ressort par ailleurs du rapport d’enquête de la COB annexé à la demande d’entraide que l’action de la société C. a «explosé» suite à l’annonce de la signature du contrat précité, sa valeur ayant augmenté de 136,7 % en neuf séances, avant d’atteindre son plafond historique de € 143,9 le 10 mars 2000, le cours ayant triplé en cinq semaines. Dans ces conditions, il y a lieu d’admettre que la signature du contrat entre la société D. et la société C. constitue à première vue un «secret commercial» au sens de l’art. 162 CP. L’article paru le 27 janvier 2000 sur le site l’Expension.com (act. 1.5) invo- qué à l’appui du recours ne modifie en rien cette appréciation. En effet, cet article ne mentionne pas l’existence d’un accord survenu entre la société C. et la société D., mais se limite à faire état de négociations entre la société</w:t>
      </w:r>
    </w:p>
    <w:p>
      <w:r>
        <w:t>- 9 -</w:t>
      </w:r>
    </w:p>
    <w:p>
      <w:r>
        <w:t>C. et «trois opérateurs mobiles français (N., O. et D.)». Mais surtout, cet ar- ticle n’explique pas l’ampleur des achats à compter du 7 jusqu’au 10 février 2000. Les autorités françaises soupçonnent certains dirigeants de la socié- té C. d’avoir révélé à des tiers des informations sur la signature d’un accord entre cette société et la société D. concernant la commercialisation de packs de téléphones mobiles. Cet état de faits réalise prima facie les élé- ments constitutifs de l’infraction de violation du secret commercial au sens de l’art. 162 al. 1 CP. Le fait pour des tiers (en l’occurrence G.) d’avoir utili- sé ces informations à leur profit ou au profit d’autres personnes (en l’occurrence son frère A.) est également susceptible de tomber, en droit suisse, sous le coup de l’art. 162 al. 2 CP. En conséquence, l’entraide ne saurait être refusée dans le cas d’espèce au motif d’une violation du prin- cipe de la double incrimination. Il n’est point nécessaire de vérifier si l’exposé des faits de la demande réalise également les éléments constitu- tifs d’autres infractions pénales selon le droit suisse. En effet, à l’inverse de ce qui prévaut en matière d’extradition, la réunion des éléments constitutifs d’une seule infraction suffit pour l’octroi de l’entraide régie par la CEEJ (ATF 125 II 569 consid. 6 p. 575, arrêt du Tribunal fédéral 1C_138/2007 du 17 juillet 2007, consid. 2.3.2). La transmission des documents litigieux à l’autorité requérante ayant au surplus été ordonnée sous réserve du prin- cipe de la spécialité, ceux-ci ne pourront pas être utilisés par les autorités françaises dans le cadre d’une éventuelle procédure visant une infraction fiscale au sens de l’art. 3 al. 3 EIMP. Le recours doit en conséquence être rejeté.</w:t>
      </w:r>
    </w:p>
    <w:p>
      <w:r>
        <w:rPr>
          <w:b/>
        </w:rPr>
        <w:t>E. 4</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 couvert par l’avance de frais déjà versée.</w:t>
      </w:r>
    </w:p>
    <w:p>
      <w:r>
        <w:t>- 10 -</w:t>
      </w:r>
    </w:p>
    <w:p>
      <w:r>
        <w:t>Par ces motifs, la IIe Cour des plaintes prononce: 1. La demande de jonction de causes formulée par l’OFJ est rejetée.</w:t>
      </w:r>
    </w:p>
    <w:p>
      <w:r>
        <w:t>2. Le recours est rejeté.</w:t>
      </w:r>
    </w:p>
    <w:p>
      <w:r>
        <w:t>3. Un émolument de Fr. 5'000.--, couvert par l’avance de frais déjà versée, est mis à la charge du recourant.</w:t>
      </w:r>
    </w:p>
    <w:p>
      <w:r>
        <w:t>Bellinzone, le 19 décembre 2008</w:t>
      </w:r>
    </w:p>
    <w:p>
      <w:r>
        <w:t>Au nom de la IIe Cour des plaintes du Tribunal pénal fédéral</w:t>
      </w:r>
    </w:p>
    <w:p>
      <w:r>
        <w:t>La présidente:</w:t>
      </w:r>
    </w:p>
    <w:p>
      <w:r>
        <w:t>Le greffier:</w:t>
      </w:r>
    </w:p>
    <w:p>
      <w:r>
        <w:t>Distribution</w:t>
      </w:r>
    </w:p>
    <w:p>
      <w:r>
        <w:t>- Me Shahram Dini,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