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 vom 5. Februar 2008</w:t>
      </w:r>
    </w:p>
    <w:p>
      <w:r>
        <w:t>Bundesstrafgericht, 2008-02-05, DE</w:t>
      </w:r>
    </w:p>
    <w:p>
      <w:r>
        <w:rPr>
          <w:b/>
        </w:rPr>
        <w:t xml:space="preserve">Quelle: </w:t>
      </w:r>
      <w:r>
        <w:t>https://mcp.opencaselaw.ch/entscheid/bstger_RR.2008.1</w:t>
      </w:r>
    </w:p>
    <w:p>
      <w:r>
        <w:t>FR: TPF RR.2008.1 du 5 février 2008</w:t>
      </w:r>
    </w:p>
    <w:p>
      <w:r>
        <w:t>IT: TPF RR.2008.1 del 5 febbraio 2008</w:t>
      </w:r>
    </w:p>
    <w:p>
      <w:pPr>
        <w:pStyle w:val="Heading2"/>
      </w:pPr>
      <w:r>
        <w:t>Regeste</w:t>
      </w:r>
    </w:p>
    <w:p>
      <w:r>
        <w:t>Auslieferung an Deutschland Beschwerde gegen Auslieferungsentscheid (Art. 55 Abs. 1 IRSG), unentgeltliche Rechtspflege (Art. 65 VwVG)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September 2006 über die Entschädigungen in Verfahren vor dem Bundes- strafgericht; SR 173.711.31); − die von Rechtsanwalt Sergio Biondo zusammen mit der Beschwerde vom</w:t>
      </w:r>
    </w:p>
    <w:p>
      <w:r>
        <w:rPr>
          <w:b/>
        </w:rPr>
        <w:t>E. 28</w:t>
      </w:r>
    </w:p>
    <w:p>
      <w:r>
        <w:t>Dezember 2007 eingereichte Honorarnote in Höhe von Fr. 1'667.80 (inkl. Fr. 117.80 MwSt) als angemessen erscheint und er demzufolge in genannter Höhe aus der Bundesstrafgerichtskasse zu entschädigen ist; − der Beschwerdeführer zu verpflichten ist, der Bundesstrafgerichtskasse die- sen Betrag von Fr. 1'667.80 zurückzuerstatten, sofern er später zu hinrei- chenden finanziellen Mitteln gelangt (vgl. Art. 65 Abs. 4 VwVG i.V.m. Art. 30 lit. b SGG).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