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RR.2007.93 vom 25. Juni 2007</w:t>
      </w:r>
    </w:p>
    <w:p>
      <w:r>
        <w:t>Bundesstrafgericht, 2007-06-25, DE</w:t>
      </w:r>
    </w:p>
    <w:p>
      <w:r>
        <w:rPr>
          <w:b/>
        </w:rPr>
        <w:t xml:space="preserve">Quelle: </w:t>
      </w:r>
      <w:r>
        <w:t>https://mcp.opencaselaw.ch/entscheid/bstger_RR.2007.93</w:t>
      </w:r>
    </w:p>
    <w:p>
      <w:r>
        <w:t>FR: TPF RR.2007.93 du 25 juin 2007</w:t>
      </w:r>
    </w:p>
    <w:p>
      <w:r>
        <w:t>IT: TPF RR.2007.93 del 25 giugno 2007</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(Zusatzabkommen; SR 0.353.913.61) massgebend. Soweit die genannten Staatsverträge bestimmte Fragen nicht abschliessend regeln,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w:t>
      </w:r>
    </w:p>
    <w:p>
      <w:r>
        <w:rPr>
          <w:b/>
        </w:rPr>
        <w:t>E. 1.2</w:t>
      </w:r>
    </w:p>
    <w:p>
      <w:r>
        <w:t>Die angefochtene Verfügung ist am 24. Mai 2007 ergangen, mithin nach dem Inkrafttreten am 1. Januar 2007 der Änderungen des IRSG gemäss Anhang Ziff. 30 des Verwaltungsgerichtsgesetzes vom 17. Juni 2005, wes- halb vorliegend gemäss Art. 110b IRSG e contrario die revidierten Bestim- mungen des IRSG zur Anwendung gelangen.</w:t>
      </w:r>
    </w:p>
    <w:p>
      <w:r>
        <w:rPr>
          <w:b/>
        </w:rPr>
        <w:t>E. 2</w:t>
      </w:r>
    </w:p>
    <w:p>
      <w:r>
        <w:t>Gegen einen Auslieferungshaftbefehl kann innert zehn Tagen ab der schriftlichen Eröffnung bei der II. Beschwerdekammer des Bundesstrafge- richts Beschwerde geführt werden (Art. 48 Abs. 2 IRSG i.V.m. Art. 47 IRSG; Art. 9 Abs. 3 des Reglements für das Bundesstrafgericht, SR 173.710). Der Auslieferungshaftbefehl vom 24. Mai 2007 wurde dem Beschwerdeführer am 30. Mai 2007 eröffnet (act. 5.6). Die Beschwerde vom 4. Juni 2007 wurde demnach fristgerecht eingereicht, weshalb darauf einzutreten ist.</w:t>
      </w:r>
    </w:p>
    <w:p>
      <w:r>
        <w:rPr>
          <w:b/>
        </w:rPr>
        <w:t>E. 3.1</w:t>
      </w:r>
    </w:p>
    <w:p>
      <w:r>
        <w:t>Die Verhaftung des Beschuldigten während des ganzen Auslieferungsver- fahrens bildet die Regel (BGE 117 IV 359 E. 2a S. 362; bestätigt in BGE 130 II 306 E. 2 S. 309 ff.). Eine Aufhebung des Auslieferungshaftbe- fehls und eine Haftentlassung rechtfertigen sich ausnahmsweise, wenn der Beschuldigte sich voraussichtlich der Auslieferung nicht entzieht und die</w:t>
      </w:r>
    </w:p>
    <w:p>
      <w:r>
        <w:t>- 4 -</w:t>
      </w:r>
    </w:p>
    <w:p>
      <w:r>
        <w:t>Strafuntersuchung nicht gefährdet (Art. 47 Abs. 1 lit. a IRSG), wenn er den sogenannten Alibibeweis erbringt, indem er ohne Verzug nachweist, dass er zur Zeit der Tat nicht am Tatort war (Art. 47 Abs. 1 lit. b IRSG), wenn er nicht hafterstehungsfähig ist oder andere Gründe vorliegen, die eine weni- ger einschneidende Massnahme rechtfertigen (Art. 47 Abs. 2 IRSG; Urteil des Bundesgerichts 1A.170/1997 vom 10. Juni 1997, E. 3a, veröffentlicht in Pra 2000 Nr. 94 S. 569), oder wenn sich die Auslieferung als offensichtlich unzulässig erweist (Art. 51 Abs. 1 IRSG i.V.m. Art. 2 - 5 IRSG). Diese Auf- zählung ist nicht abschliessend (BGE 130 II 306 E. 2.1 S. 309; 117 IV 359 E. 2a S. 361 f.). Offensichtlich unzulässig kann ein Auslieferungsersuchen sein, wenn ohne jeden Zweifel und ohne weitere Abklärungen ein Aus- schlussgrund vorliegt (vgl. BGE 111 IV 108 E. 3a S. 110). Im Übrigen sind Vorbringen gegen die Auslieferung als solche oder gegen die Begründet- heit des Auslieferungsbegehrens im eigentlichen Auslieferungsverfahren zu prüfen. Die ausnahmsweise zu gewährende Haftentlassung ist deshalb an strengere Voraussetzungen gebunden als der Verzicht auf die gewöhnliche Untersuchungshaft in einem Strafverfahren oder die Entlassung aus einer solchen (vgl. BGE 130 II 306 E. 2.2 und 2.3 S. 309 f.; 111 IV 108 E. 2 S. 110).</w:t>
      </w:r>
    </w:p>
    <w:p>
      <w:r>
        <w:rPr>
          <w:b/>
        </w:rPr>
        <w:t>E. 3.2</w:t>
      </w:r>
    </w:p>
    <w:p>
      <w:r>
        <w:t>Der Beschwerdeführer macht geltend, er sei in Marokko aufgewachsen, sei dort jedoch nie gemeldet gewesen und besitze keine Papiere. Nachdem er sich mehrere Jahre in Italien, Deutschland sowie der Schweiz aufgehalten hätte und lange Zeit in Gefängnissen verbracht hätte, wolle er nun wieder nach Marokko zurückkehren, um Papiere zu bekommen und seine Familie zu suchen. Er könne und wolle daher nicht an Deutschland ausgeliefert werden.</w:t>
      </w:r>
    </w:p>
    <w:p>
      <w:r>
        <w:rPr>
          <w:b/>
        </w:rPr>
        <w:t>E. 3.3</w:t>
      </w:r>
    </w:p>
    <w:p>
      <w:r>
        <w:t>Diese Vorbringen des Beschwerdeführers rechtfertigen offensichtlich keine Haftentlassung. Andere Gründe, welche für eine Entlassung aus der Aus- lieferungshaft sprechen könnten, sind ebenfalls nicht ersichtlich. Der Be- schwerdeführer, welcher keine Bindung zur Schweiz hat, äusserte im Ge- genteil wiederholt den Wunsch, sich in sein Heimatland begeben zu kön- nen. Im Falle einer Haftentlassung wäre daher mit grosser Wahrscheinlich- keit damit zu rechnen, dass sich dieser nach Marokko absetzt, weshalb die Auslieferungshaft aufgrund der bestehenden Fluchtgefahr und der damit verbundenen Erschwerung der Auslieferung an Deutschland gerechtfertigt ist. Die Beschwerde erweist sich als offensichtlich unbegründet und ist ab- zuweisen.</w:t>
      </w:r>
    </w:p>
    <w:p>
      <w:r>
        <w:t>- 5 -</w:t>
      </w:r>
    </w:p>
    <w:p>
      <w:r>
        <w:rPr>
          <w:b/>
        </w:rPr>
        <w:t>E. 4</w:t>
      </w:r>
    </w:p>
    <w:p>
      <w:r>
        <w:t>Bei diesem Ausgang des Verfahrens wird der Beschwerdeführer kosten- pflichtig (Art. 30 lit. b SGG i.V.m. Art. 63 Abs. 1 VwVG). Die Zuständigkeit des Bundesstrafgerichts zur Regelung der Gerichtsgebühren wurde in Art. 63 Abs. 5 VwVG nicht ausdrücklich vorbehalten. Der Vorbehalt von Art. 63 Abs. 5 VwVG muss jedoch in analoger Anwendung auch zugunsten von Art. 15 Abs. 1 lit. a SGG gelten, weshalb vorliegend für die Berechnung der Gerichtsgebühr das Reglement vom 11. Februar 2004 über die Ge- richtsgebühren vor dem Bundesstrafgericht (SR 173.711.32) zur Anwen- dung gelangt (TPF RR.2007.6 vom 22. Februar 2007 E. 5). Die Gerichts- gebühr wird auf CHF 500.-- festgesetzt (Art. 3 des Reglements über die Gerichtsgebühren vor dem Bundesstrafgericht).</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