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RR.2007.88 vom 25. Oktober 2007</w:t>
      </w:r>
    </w:p>
    <w:p>
      <w:r>
        <w:t>Bundesstrafgericht, 2007-10-25, DE</w:t>
      </w:r>
    </w:p>
    <w:p>
      <w:r>
        <w:rPr>
          <w:b/>
        </w:rPr>
        <w:t xml:space="preserve">Quelle: </w:t>
      </w:r>
      <w:r>
        <w:t>https://mcp.opencaselaw.ch/entscheid/bstger_RR.2007.88</w:t>
      </w:r>
    </w:p>
    <w:p>
      <w:r>
        <w:t>FR: TPF RR.2007.88 du 25 octobre 2007</w:t>
      </w:r>
    </w:p>
    <w:p>
      <w:r>
        <w:t>IT: TPF RR.2007.88 del 25 ottobre 2007</w:t>
      </w:r>
    </w:p>
    <w:p>
      <w:pPr>
        <w:pStyle w:val="Heading2"/>
      </w:pPr>
      <w:r>
        <w:t>Regeste</w:t>
      </w:r>
    </w:p>
    <w:p>
      <w:r>
        <w:t>Internationale Rechtshilfe in Strafsachen an die Islamische Republik Iran Anwesenheit ausländischer Prozessbeteiligter (Art. 80e Abs. 2 lit. b IRSG), aufschiebende Wirkung (Art. 80l Abs. 3 IRSG)</w:t>
      </w:r>
    </w:p>
    <w:p>
      <w:pPr>
        <w:pStyle w:val="Heading2"/>
      </w:pPr>
      <w:r>
        <w:t>Erwägungen</w:t>
      </w:r>
    </w:p>
    <w:p>
      <w:r>
        <w:rPr>
          <w:b/>
        </w:rPr>
        <w:t>E. 1</w:t>
      </w:r>
    </w:p>
    <w:p>
      <w:r>
        <w:t>Die Rechtshilfe für die Islamische Republik Iran richtet sich, mangels Staatsvertrages, nach den Bestimmungen des Bundesgesetzes über inter- nationale Rechtshilfe in Strafsachen vom 20. März 1981 (IRSG, SR 351.1) und die dazu erlassene Verordnung über internationale Rechtshilfe in Strafsachen vom 24. Februar 1982 (IRSV, SR 351.11).</w:t>
      </w:r>
    </w:p>
    <w:p>
      <w:r>
        <w:rPr>
          <w:b/>
        </w:rPr>
        <w:t>E. 2</w:t>
      </w:r>
    </w:p>
    <w:p>
      <w:r>
        <w:t>Gemäss Art. 12 Abs. 1 IRSG i.V.m. Art. 33a Abs. 2 des Bundesgesetzes über das Verwaltungsverfahren (VwVG, SR 172.021) werden die Entschei- de des Bundesstrafgerichtes in der Regel in der Sprache des angefochte- nen Entscheides verfasst. Wie schon das Bundesgericht in seinem Urteil vom 6. März 2007 festgehalten hat (Beilage 10 zu act. 10) – auf dessen Erwägungen in Ziff. 1.3 wird vollumfänglich verwiesen – besteht kein An- lass von dieser Regel abzuweichen, weshalb der vorliegende Entscheid auf Deutsch zu verfassen ist.</w:t>
      </w:r>
    </w:p>
    <w:p>
      <w:r>
        <w:t>- 5 -</w:t>
      </w:r>
    </w:p>
    <w:p>
      <w:r>
        <w:rPr>
          <w:b/>
        </w:rPr>
        <w:t>E. 3.1</w:t>
      </w:r>
    </w:p>
    <w:p>
      <w:r>
        <w:t>Beim angefochtenen Entscheid handelt es sich um eine Zwischenverfü- gung der ausführenden Bundesbehörde, welche das Rechtshilfeverfahren weder ganz noch teilweise abschliesst. Gemäss Art. 80e Abs. 1 IRSG i.V.m. Art. 28 Abs. 1 lit. e des Bundesgesetzes über das Bundesstrafgericht vom 4. Oktober 2002 (SGG, SR 173.71; Fassung gemäss Anhang Ziff. 14 des Verwaltungsgerichtsgesetzes vom 17. Juni 2005, in Kraft seit 1. Januar 2007) und Art. 9 Abs. 3 des Reglements für das Bundesstrafgericht vom 20. Juni 2006 (SR 173.710) unterliegt die Verfügung der ausführenden kan- tonalen Behörde oder der ausführenden Bundesbehörde, mit der das Rechtshilfeverfahren abgeschlossen wird, zusammen mit den vorangehen- den Zwischenverfügungen der Beschwerde an die II. Beschwerdekammer des Bundesstrafgerichts. Die der Schlussverfügung vorangehenden Zwi- schenverfügungen können hingegen nur ausnahmsweise selbständig an- gefochten werden, wenn sie u.a. durch die Anwesenheit von Personen, die am ausländischen Prozess beteiligt sind, einen unmittelbaren und nicht wieder gutzumachenden Nachteil bewirken (Art. 80e Abs. 2 lit. b IRSG).</w:t>
      </w:r>
    </w:p>
    <w:p>
      <w:r>
        <w:t>Gemäss konstanter Rechtsprechung des Bundesgerichts hat die blosse Anwesenheit ausländischer Prozessbeteiligter an einer Rechtshilfehand- lung für den Betroffenen in der Regel noch keinen unmittelbaren und nicht wieder gutzumachenden Nachteil i.S.v. Art. 80e Abs. 2 IRSG zur Folge. Ein solcher ist hingegen zu bejahen, wenn die Gefahr besteht, dass den aus- ländischen Behörden durch die Teilnahme ihrer Beamten an den Vollzugs- handlungen Tatsachen aus dem Geheimbereich zugänglich gemacht wer- den, bevor über die Gewährung oder den Umfang der Rechtshilfe ent- schieden worden ist (vgl. Art. 65a Abs. 3 IRSG; TPF RR.2007.6 vom 22. Februar 2007, E. 2.4; Urteile des Bundesgerichts 1A.225/2006 vom</w:t>
      </w:r>
    </w:p>
    <w:p>
      <w:r>
        <w:rPr>
          <w:b/>
        </w:rPr>
        <w:t>E. 3.2</w:t>
      </w:r>
    </w:p>
    <w:p>
      <w:r>
        <w:t>Die Beschwerdeführerinnen machen zusammengefasst im Wesentlichen geltend, die abgegebenen Garantieerklärungen würden nicht sicherstellen, dass die anlässlich der Rechtshilfehandlungen in der Schweiz gewonnenen Erkenntnisse nicht dennoch vorzeitig verwendet würden: Bei H., einem Un- terzeichner der Garantieerklärungen, handle es sich um einen englischen Rechtsanwalt, der angeblich von der Islamischen Republik Iran mandatiert worden sei. Dies sei eine Verletzung von Art. 65a Abs. 1 IRSG (act. 6, Ziff.</w:t>
      </w:r>
    </w:p>
    <w:p>
      <w:r>
        <w:rPr>
          <w:b/>
        </w:rPr>
        <w:t>E. 3.3</w:t>
      </w:r>
    </w:p>
    <w:p>
      <w:r>
        <w:t>Art. 65a Abs. 1 IRSG besagt, dass "Personen, die am ausländischen Pro- zess beteiligt sind" die Anwesenheit bei Rechtshilfehandlungen und Akten- einsicht in der Schweiz gestattet werden kann. Gemäss Botschaft des Bundesrates (betreffend die Änderung des Rechtshilfegesetzes und des Bundesgesetzes zum Staatsvertrag mit den USA über die gegenseitige Rechtshilfe in Strafsachen sowie den Bundesbeschluss über einen Vorbe-</w:t>
      </w:r>
    </w:p>
    <w:p>
      <w:r>
        <w:t>- 7 -</w:t>
      </w:r>
    </w:p>
    <w:p>
      <w:r>
        <w:t>halt zum Europäischen Übereinkommen über die Rechtshilfe in Strafsa- chen) vom 29. März 1995 gehören zu den Personen, die am ausländischen Prozess beteiligt sind, "die mit dem Fall befassten Richter, die Vertreter und Hilfspersonen der Strafuntersuchungsbehörden sowie die beschuldigte oder angeklagte Person und deren Rechtsbeistand sowie allenfalls für das Rechtshilfeverfahren beigezogene Rechtsbeistände" (BBl 1995 III S. 22). Hilfspersonen der Strafuntersuchungsbehörden unterstützen diese in ir- gendeiner Funktion bei der Erfüllung ihrer Aufgabe (zum Begriff der Hilfs- person vgl. NIKLAUS OBERHOLZER, Basler Kommentar, N. 6 zu Art. 321 StGB). Als Hilfspersonen der Strafuntersuchungsbehörden können dem- entsprechend beispielsweise Kanzleipersonal, Assistenten, Praktikanten, beigezogene Experten und Übersetzer u.v.w. gelten. Demgegenüber wird die Teilnahme von ausländischen Funktionären dann nicht bewilligt, wenn diese nicht direkt an der Untersuchung beteiligt sind oder sie einer Behörde angehören, die mit der Untersuchung von Delikten betraut ist, für welche die Rechtshilfe nicht gewährt würde (ROBERT ZIMMERMANN, a.a.O., Rz. 231).</w:t>
      </w:r>
    </w:p>
    <w:p>
      <w:r>
        <w:t>Gemäss Beilage zum Rechtshilfeersuchen vom 6. März 2006 wurde F. am 29. Dezember 2004 vom Leiter des iranischen Gerichtswesens ("Head of the Judiciary", resp. "Chef du Pouvoir Judiciaire") zum ausserordentlichen Richter ("Special Judge", resp. "Juge Extraordinaire") hinsichtlich der Aus- landermittlungen in der Untersuchung des Betrugsfalles im Zusammenhang mit dem Airbuskauf ernannt (Beilage 6.1 zu act. 10). F. seinerseits ernann- te am 7. März 2006 die Rechtsanwälte G. (Genf) und H. (London) als seine Vertreter ("representatives") in Bezug auf das an die Schweiz gestellte Rechtshilfeersuchen (Beilage 13.1 zu act. 10). Im Lichte der vorerwähnten, bundesrätlichen Formulierung fallen sie somit unter die Kategorie "für das Rechtshilfeverfahren beigezogene Rechtsbeistände". Die Wortwahl "Rechtsbeistand" weist darauf hin, dass darunter nicht nur in der Schweiz zugelassene Rechtsanwälte zu verstehen sind, sondern auch andere Rechtskundige im In- und Ausland. Es muss grundsätzlich der ersuchen- den Behörde überlassen werden zu entscheiden, welche Art des Rechts- beistandes ihr am nützlichsten erscheint. Die Argumentation der Be- schwerdeführerinnen, wonach H. kein iranischer Funktionär sei und nicht der iranischen Autorität unterstehe, weshalb eine Verletzung der Garantie- erklärung keine Sanktionen nach sich zöge, geht fehl. Die Verletzung von Auflagen, Bedingungen, Beschränkungen etc. im Bereiche der internationa- len Rechtshilfe durch den ersuchenden Staat zieht aus Sicht des ersuchten Staates nur Sanktionen in Bezug auf den ersuchenden Staat selbst nach sich (z.B. künftiger Ausschluss von der Rechtshilfe, vgl. PETER POPP, Grundzüge der internationalen Rechtshilfe in Strafsachen, Basel 2001, Rz.</w:t>
      </w:r>
    </w:p>
    <w:p>
      <w:r>
        <w:t>- 8 -</w:t>
      </w:r>
    </w:p>
    <w:p>
      <w:r>
        <w:t>529). Insofern ist es unerheblich, wo die Person, die konkret die Verletzung begangen hat, sich aufhält, resp. welcher Nationalität sie angehört.</w:t>
      </w:r>
    </w:p>
    <w:p>
      <w:r>
        <w:rPr>
          <w:b/>
        </w:rPr>
        <w:t>E. 3.4</w:t>
      </w:r>
    </w:p>
    <w:p>
      <w:r>
        <w:t>Entsprechend Art. 28 Abs. 2 lit. a IRSG sind in einem Rechtshilfeersuchen u.a. die Stelle aufzuführen, von der es ausgeht, und gegebenenfalls die für das Strafverfahren zuständige Behörde. Diesen Anforderungen entspricht das vorliegende Ersuchen. Selbst wenn die dem Ersuchen zugrunde lie- gende Untersuchung durch die militärische Abteilung der iranischen Ge- richtsorganisation durchgeführt wird, bedeutet dies nicht automatisch, dass die Rechtshilfe per se ausgeschlossen wäre. Sie würde nur dann abge- lehnt, wenn die Untersuchung die Verletzung der Pflichten zu militärischen oder ähnlichen Dienstleistungen beträfe (Art. 3 Abs. 1 IRSG), was vorlie- gend unbestrittenermassen nicht der Fall ist. Das Nichterwähnen des Um- standes, dass die Untersuchung durch die militärische Abteilung der irani- schen Gerichtsorganisation geleitet wird, führt folglich nicht zu einem un- statthaften Vorteil für die ersuchende Behörde. Zudem sind keine Anhalts- punkte ersichtlich, dass F. diesen Umstand absichtlich nicht erwähnt hat, es ihm mithin an Ehrlichkeit mangelt, wie die Beschwerdeführerinnen rü- gen. Vielmehr hat F. diesen Aspekt am 1. September 2006 vor dem Southwark Crown Court ausführlich dargelegt (act. 1.8, Ziff. 2 und 3).</w:t>
      </w:r>
    </w:p>
    <w:p>
      <w:r>
        <w:rPr>
          <w:b/>
        </w:rPr>
        <w:t>E. 3.5</w:t>
      </w:r>
    </w:p>
    <w:p>
      <w:r>
        <w:t>Was schliesslich die Behauptung der Beschwerdeführerinnen anbetrifft, das iranische Verteidigungsministerium (MODSAF oder MODAFL), für wel- ches die Geschädigte im iranischen Verfahren – die staatliche Beschaf- fungsabteilung (SPO) – tätig gewesen sei, sei von der UNO und später auch von der Schweiz unter Embargo gestellt worden, so ist diese in dieser pauschalen Formulierung nicht zutreffend. Zwar hat die Schweiz mit der Verordnung über Massnahmen gegenüber der Islamischen Republik Iran vom 14. Februar 2007 (SR 946.231.143.6) die Resolution Nr. 1737 des UNO-Sicherheitsrates vom 23. Dezember 2006 umgesetzt. Diese Verord- nung sieht ein Exportverbot an die Islamische Republik Iran für Güter, Technologien und Software vor, die zu den iranischen Nuklear- und Rake- tenprogrammen beitragen können. Inwiefern eine Behörde, die Gegen- stand eines Exportverbotes und Geschädigte in einem Strafverfahren ist, das in keinem Zusammenhang mit dem Exportverbot steht, Anlass dafür sein könnte, dass die Garantieerklärungen nicht respektiert würden, ist nicht nachvollziehbar.</w:t>
      </w:r>
    </w:p>
    <w:p>
      <w:r>
        <w:rPr>
          <w:b/>
        </w:rPr>
        <w:t>E. 3.6</w:t>
      </w:r>
    </w:p>
    <w:p>
      <w:r>
        <w:t>Zusammengefasst ergibt sich aus dem Gesagten, dass keine Anhaltspunk- te dafür vorliegen, dass sich die ersuchende Behörde über die Bedingun- gen der Garantieerklärungen hinwegsetzen wird. Vielmehr kann aufgrund des völkerrechtlichen Vertrauensprinzipes davon ausgegangen werden,</w:t>
      </w:r>
    </w:p>
    <w:p>
      <w:r>
        <w:t>- 9 -</w:t>
      </w:r>
    </w:p>
    <w:p>
      <w:r>
        <w:t>dass sie sich an sie halten wird. Dafür spricht im Übrigen ebenfalls, dass diese Garantieerklärungen im Zusammenhang mit der bereits erfolgten Ak- tensichtung vom 30. Mai 2007 offenbar auch nicht verletzt worden sind.</w:t>
      </w:r>
    </w:p>
    <w:p>
      <w:r>
        <w:t>Somit haben die Beschwerdeführerinnen keinen unmittelbaren und nicht wieder gutzumachenden Nachteil i.S.v. Art. 80e Abs. 2 IRSG dargetan, weshalb der eigenständige Beschwerdeweg gegen die streitige Zwischen- verfügung der Beschwerdegegnerin vom 24. Mai 2007 nicht offen steht. Auf die Beschwerde ist daher nicht einzutreten.</w:t>
      </w:r>
    </w:p>
    <w:p>
      <w:r>
        <w:t>4. Das Gesuch der Beschwerdeführerinnen um Erteilung der aufschiebenden Wirkung der Beschwerde wird mit dem vorliegenden Entscheid hinfällig und ist als gegenstandslos geworden abzuschreiben.</w:t>
      </w:r>
    </w:p>
    <w:p>
      <w:r>
        <w:t>5. Bei diesem Ausgang des Verfahrens werden die Beschwerdeführerinnen kostenpflichtig (Art. 63 Abs. 1 VwVG i.V.m. Art. 30 lit. b SGG). Die Ge- richtsgebühr berechnet sich in Anwendung von Art. 3 des Reglements vom</w:t>
      </w:r>
    </w:p>
    <w:p>
      <w:r>
        <w:rPr>
          <w:b/>
        </w:rPr>
        <w:t>E. 6</w:t>
      </w:r>
    </w:p>
    <w:p>
      <w:r>
        <w:t>März 2007, E. 1.5.1; 1A.215/2006 vom 7. November 2006, E. 1.3; 1A.35/2001 vom 21. Mai 2001, E. 1a; BGE 128 II 211 E. 2.1, je m.w.H.). Diese Gefahr der Verletzung des Geheimbereichs des Betroffenen ist zu verneinen, wenn die schweizerischen Behörden die nach den Umständen geeigneten Vorkehrungen treffen, um eine vorzeitige Verwendung von In- formationen im ausländischen Strafverfahren zu verhindern (vgl. ROBERT ZIMMERMANN, La coopération judiciaire internationale en matière pénale, Bern 2004, Rz. 233; BGE 128 II 211 E. 2.1; 127 II 198 E. 2b). Geeignete Vorkehrungen trifft die Vollzugsbehörde u.a. dann, wenn sie den ausländi- schen Beamten anlässlich der Rechtshilfehandlung untersagt, Notizen zu machen und Kopien zu erstellen, und sie verpflichtet, allfällige Erkenntnisse bis zum Vorliegen einer rechtskräftigen Schlussverfügung im ausländi- schen Verfahren nicht zu verwenden (vgl. Urteile des Bundesgerichts</w:t>
      </w:r>
    </w:p>
    <w:p>
      <w:r>
        <w:t>- 6 -</w:t>
      </w:r>
    </w:p>
    <w:p>
      <w:r>
        <w:t>1A.225/2006 vom 6. März 2007, E. 1.5.1; 1A.215/2006 vom 7. Novem- ber 2006, E. 2.3; BGE 131 II 132 E. 2.2).</w:t>
      </w:r>
    </w:p>
    <w:p>
      <w:r>
        <w:rPr>
          <w:b/>
        </w:rPr>
        <w:t>E. 9</w:t>
      </w:r>
    </w:p>
    <w:p>
      <w:r>
        <w:t>10; act. 12, Ziff. 22). Sollte H. die Bestimmungen der Garantieerklärung verletzen, hätte dies sodann keine Sanktion zur Folge, da er ja kein irani- scher Funktionär und damit der iranischen Autorität nicht unterstellt sei (act. 6, Ziff. 36). Nichts könne H. daran hindern, die in der Schweiz gewon- nenen Erkenntnisse für das in England in dieser Sache hängige Zivilverfah- ren zu verwenden (act. 12, Ziff. 26).</w:t>
      </w:r>
    </w:p>
    <w:p>
      <w:r>
        <w:t>Der das Rechtshilfeersuchen stellende iranische Untersuchungsrichter F. habe mit Bedacht verschwiegen, dass er Angehöriger der Militärjustiz sei; ihm mangle es an Ehrlichkeit (act. 6, Ziff. 23 - 29). Vor einem englischen Gericht habe er ausgesagt, dass I. der Hauptverdächtige in der Untersu- chung sei. Da I. Offizier der iranischen Armee und Opfer der Straftat die SPO ("State Purchasing Organisation", die staatliche Beschaffungsabtei- lung des iranischen Verteidigungsministeriums, "Ministry of Defence of the Islamic Republic of Iran", MODSAF) sei, sei die Untersuchung der militäri- schen Abteilung der Gerichtsorganisation zugeteilt worden. Das MODSAF sei aber auch unter der Abkürzung MODAFL ("Ministry of Defense and Ar- med Forces Logistics") bekannt, eine Behörde, die aufgrund einer Resolu- tion des Sicherheitsrates der UNO unter Embargo gestellt worden sei, wel- ches Embargo auch von der Schweiz befolgt werde (act. 6, Ziff. 40 - 43). Aufgrund dieser gesamten Umstände sei erstellt, dass das Verhalten des ersuchenden Staates missbräuchlich sei und das völkerrechtliche Vertrau- ensprinzip nicht zur Anwendung gelangen könne (act. 12, Ziff. 20). Viel- mehr bestehe ganz konkret die Gefahr, dass die in der Schweiz gewonne- nen Erkenntnisse vorzeitig verwendet würden (act. 12, Ziff. 19).</w:t>
      </w:r>
    </w:p>
    <w:p>
      <w:r>
        <w:rPr>
          <w:b/>
        </w:rPr>
        <w:t>E. 11</w:t>
      </w:r>
    </w:p>
    <w:p>
      <w:r>
        <w:t>Februar 2004 über die Gerichtsgebühren vor dem Bundesstrafgericht (SR 173.711.32) und ist vorliegend auf Fr. 3'000.-- festzusetzen, unter An- rechnung des geleisteten Kostenvorschusses in gleicher Höhe.</w:t>
      </w:r>
    </w:p>
    <w:p>
      <w:r>
        <w:t>- 10 -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