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RR.2007.63_A vom 20. August 2007</w:t>
      </w:r>
    </w:p>
    <w:p>
      <w:r>
        <w:t>Bundesstrafgericht, 2007-08-20, DE</w:t>
      </w:r>
    </w:p>
    <w:p>
      <w:r>
        <w:rPr>
          <w:b/>
        </w:rPr>
        <w:t xml:space="preserve">Quelle: </w:t>
      </w:r>
      <w:r>
        <w:t>https://mcp.opencaselaw.ch/entscheid/bstger_RR.2007.63_A</w:t>
      </w:r>
    </w:p>
    <w:p>
      <w:r>
        <w:t>FR: TPF RR.2007.63_A du 20 août 2007</w:t>
      </w:r>
    </w:p>
    <w:p>
      <w:r>
        <w:t>IT: TPF RR.2007.63_A del 20 agosto 2007</w:t>
      </w:r>
    </w:p>
    <w:p>
      <w:pPr>
        <w:pStyle w:val="Heading2"/>
      </w:pPr>
      <w:r>
        <w:t>Regeste</w:t>
      </w:r>
    </w:p>
    <w:p>
      <w:r>
        <w:t>Internationale Rechtshilfe in Strafsachen an die Niederlande Beschlagnahme von Vermögenswerten (Art. 63 Abs. 2 lit. b IRSG)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August 2007 ersucht hat (act. 14);</w:t>
      </w:r>
    </w:p>
    <w:p>
      <w:r>
        <w:t>- das Schreiben von A. vom 1. August 2007 Rechtsanwalt Bosonnet am 7. Au- gust 2007 in Kopie übermittelt wurde (act. 15), welcher dazu innert nützlicher Frist nicht Stellung genommen hat;</w:t>
      </w:r>
    </w:p>
    <w:p>
      <w:r>
        <w:t>- das Beschwerdeverfahren daher zufolge Rückzugs der Beschwerde als erle- digt abzuschreiben ist;</w:t>
      </w:r>
    </w:p>
    <w:p>
      <w:r>
        <w:t>- der Beschwerdeführer bei diesem Ausgang des Verfahrens als unterliegende Partei zu gelten und die Verfahrenskosten inklusive die Kosten des Ent- scheids über die unentgeltliche Rechtspflege zu tragen hat (Art. 63 Abs. 1 VwVG i.V.m. Art. 30 lit. b SGG; TPF RR.2007.70 vom 30. Mai 2007), wobei die Gerichtsgebühr auf CHF 500.-- anzusetzen ist (Art. 3 des Reglements vom 11. Februar 2004 über die Gerichtsgebühren vor dem Bundesstrafge- richt, SR 173.711.32; TPF RR.2007.6 vom 22. Februar 2007 E. 5);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