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RR.2007.56 vom 26. Juli 2007</w:t>
      </w:r>
    </w:p>
    <w:p>
      <w:r>
        <w:t>Bundesstrafgericht, 2007-07-26, DE</w:t>
      </w:r>
    </w:p>
    <w:p>
      <w:r>
        <w:rPr>
          <w:b/>
        </w:rPr>
        <w:t xml:space="preserve">Quelle: </w:t>
      </w:r>
      <w:r>
        <w:t>https://mcp.opencaselaw.ch/entscheid/bstger_RR.2007.56</w:t>
      </w:r>
    </w:p>
    <w:p>
      <w:r>
        <w:t>FR: TPF RR.2007.56 du 26 juillet 2007</w:t>
      </w:r>
    </w:p>
    <w:p>
      <w:r>
        <w:t>IT: TPF RR.2007.56 del 26 luglio 2007</w:t>
      </w:r>
    </w:p>
    <w:p>
      <w:pPr>
        <w:pStyle w:val="Heading2"/>
      </w:pPr>
      <w:r>
        <w:t>Regeste</w:t>
      </w:r>
    </w:p>
    <w:p>
      <w:r>
        <w:t>Internationale Rechtshilfe in Strafsachen an Deutschland Herausgabe von Beweismitteln (Art. 74 Abs. 1 IRSG)</w:t>
      </w:r>
    </w:p>
    <w:p>
      <w:pPr>
        <w:pStyle w:val="Heading2"/>
      </w:pPr>
      <w:r>
        <w:t>Erwägungen</w:t>
      </w:r>
    </w:p>
    <w:p>
      <w:r>
        <w:rPr>
          <w:b/>
        </w:rPr>
        <w:t>E. 1</w:t>
      </w:r>
    </w:p>
    <w:p>
      <w:r>
        <w:t>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gelangen das Bundes- 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rPr>
          <w:b/>
        </w:rPr>
        <w:t>E. 2.1</w:t>
      </w:r>
    </w:p>
    <w:p>
      <w:r>
        <w:t>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 Die Be- schwerde wurde innert der Frist von Art. 80k IRSG eingereicht.</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BGE 130 II 162 E. 1.1). Ein schutzwürdiges Interesse liegt nicht schon dann vor, wenn je- mand irgendeine Beziehung zum Streitobjekt zu haben behauptet. Viel- mehr ist zur Bejahung der Legitimation erforderlich, dass der angefochtene Entscheid den Beschwerdeführer in stärkerem Masse berührt als die All- gemeinheit der Bürger, bzw. es ist eine vom einschlägigen Bundesrecht er- fasste spezifische Beziehungsnähe vorausgesetzt (vgl. BGE 130 II 162 E. 1.1; 128 II 211 E. 2.3; 123 II 153 E. 2b). Art. 9a IRSV präzisiert, wer per-</w:t>
      </w:r>
    </w:p>
    <w:p>
      <w:r>
        <w:t>- 4 -</w:t>
      </w:r>
    </w:p>
    <w:p>
      <w:r>
        <w:t>sönlich und direkt im Sinne der vorgenannten Gesetzesbestimmungen be- troffen ist: Bei der Erhebung von Kontoinformationen der Kontoinhaber (lit. a), bei Hausdurchsuchungen der Eigentümer oder der Mieter (lit. b) und bei Massnahmen betreffend Motorfahrzeuge der Halter (lit. c). Dasselbe gilt gemäss bundesgerichtlicher Rechtsprechung auch für natürliche und juris- tische Personen, gegen die unmittelbar eine Zwangsmassnahme angeord- net wurde (BGE 123 II 153 E. 2b).</w:t>
      </w:r>
    </w:p>
    <w:p>
      <w:r>
        <w:t>Die A. wäre von der Sicherstellung und Herausgabe ihrer Geschäftsunter- lagen an die ersuchenden deutschen Behörden zweifellos persönlich und direkt im Sinne der vorgenannten Rechtsprechung betroffen (vgl. auch TPF RR.2007.32 vom 24. April 2007, E. 2.2). Da die A. jedoch zwischenzeitlich aufgelöst, das Konkursverfahren mangels Aktiven eingestellt und die Ge- sellschaft deshalb von Amtes wegen per 4. Mai 2006 im Handelsregister gelöscht wurde, kann sie - bzw. ihr ehemaliger Verwaltungsrat in ihrem Namen - nicht mehr nach aussen auftreten und auch keine Rechtsmittel mehr ergreifen (vgl. TPF RR.2007.52 vom 13. Juni 2007, E. 3.2; Urteile des Bundesgerichts 1A.10/2000 vom 18. Mai 2000, E. 1e; 1A.212/2001 vom 21. März 2002, E. 1.3.2 m.w.H.; FORSTMOSER/MEIER-HAYOZ/NOBEL, Schweize- risches Aktienrecht, Bern 1996, § 56 N. 153). Mangels Legitimation der Be- schwerdeführerin ist deshalb auf die Beschwerde nicht einzutreten.</w:t>
      </w:r>
    </w:p>
    <w:p>
      <w:r>
        <w:rPr>
          <w:b/>
        </w:rPr>
        <w:t>E. 2.3</w:t>
      </w:r>
    </w:p>
    <w:p>
      <w:r>
        <w:t>Bei der Erhebung von Kontoinformationen betrachtet die Rechtsprechung lediglich den Kontoinhaber nicht jedoch den am Konto wirtschaftlich Be- rechtigten zur Beschwerde legitimiert. Für den Fall, in welchem die juristi- sche Person, welche als Kontoinhaberin geführt wird, nicht mehr besteht und deshalb keine Rechtsmittel mehr ergreifen kann, wurde die Rechtspre- chung in BGE 123 II 153 dahingehend präzisiert, dass ausnahmsweise dem am Konto oder an einer direkt betroffenen Gesellschaft wirtschaftlich Berechtigten dann ein genügender rechtlicher Schutz gegenüber Rechtshil- femassnahmen gewährt wird, wenn er selbst zur Beschwerde zugelassen wird und die in den Kontounterlagen seit der Eröffnung des Kontos aufge- löste und deshalb nicht mehr handlungsfähige juristische Person als einzi- ge Inhaberin des Kontos erscheint (vgl. BGE 123 II 153 E. 2c; Urteil des Bundesgerichts 1A.10/2000 vom 18. Mai 2000, E. 1e, m.w.H.).</w:t>
      </w:r>
    </w:p>
    <w:p>
      <w:r>
        <w:t>Vorliegend stünde B. einerseits gemäss Art. 9a lit. b IRSV als Mieter oder Eigentümer der Liegenschaft in Y., wo die Hausdurchsuchung durchgeführt und die Unterlagen der aufgelösten A. sichergestellt wurden, die Legitima- tion zur Beschwerde in eigenem Namen zu. Andererseits war er als einzi- ger Verwaltungsrat der A. auch wirtschaftlich an dieser berechtigt. In ana- loger Anwendung der vorgenannten Rechtsprechung wäre er somit zur Be-</w:t>
      </w:r>
    </w:p>
    <w:p>
      <w:r>
        <w:t>- 5 -</w:t>
      </w:r>
    </w:p>
    <w:p>
      <w:r>
        <w:t>schwerde zuzulassen. Auf Nachfrage der II. Beschwerdekammer (act. 6) erklärte B. jedoch explizit, die Beschwerde in seiner Funktion als ehemali- ger Verwaltungsrat der A. erhoben zu haben (act. 9), so dass diese nicht als in seinem eigenen Namen erhoben entgegengenommen werden konn- te.</w:t>
      </w:r>
    </w:p>
    <w:p>
      <w:r>
        <w:rPr>
          <w:b/>
        </w:rPr>
        <w:t>E. 3</w:t>
      </w:r>
    </w:p>
    <w:p>
      <w:r>
        <w:t>Letztlich bleibt festzuhalten, dass die Beschwerde selbst bei Vorliegen aller Eintretensvoraussetzungen auch materiell abzuweisen gewesen wäre. Aus der Beschwerdeschrift ist nicht ersichtlich, welche materiellen Gründe ge- gen die Gewährung der Rechtshilfe an Deutschland sprechen würden. Die angefochtene Verfügung stützt sich auf die hievor unter Ziff. 1 erwähnten internationalen Gesetzesnormen sowie auf die von der Rechtsprechung entwickelten Grundsätze.</w:t>
      </w:r>
    </w:p>
    <w:p>
      <w:r>
        <w:rPr>
          <w:b/>
        </w:rPr>
        <w:t>E. 4</w:t>
      </w:r>
    </w:p>
    <w:p>
      <w:r>
        <w:t>Bei diesem Ausgang des Verfahrens wird die Beschwerdeführerin kosten- pflichtig (Art. 30 lit. b SGG i.V.m. Art. 63 Abs. 1 VwVG).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1'500.-- festzuset- zen. Sie wird mit dem von der Beschwerdeführerin geleisteten Kostenvor- schuss von Fr. 3'000.-- verrechnet, wobei die Bundesstrafgerichtskasse anzuweisen ist, der Beschwerdeführerin den Restbetrag von Fr. 1'500.-- zurückzuerstatten.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