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RR.2007.52 vom 13. Juni 2007</w:t>
      </w:r>
    </w:p>
    <w:p>
      <w:r>
        <w:t>Bundesstrafgericht, 2007-06-13, FR</w:t>
      </w:r>
    </w:p>
    <w:p>
      <w:r>
        <w:rPr>
          <w:b/>
        </w:rPr>
        <w:t xml:space="preserve">Quelle: </w:t>
      </w:r>
      <w:r>
        <w:t>https://mcp.opencaselaw.ch/entscheid/bstger_RR.2007.52</w:t>
      </w:r>
    </w:p>
    <w:p>
      <w:r>
        <w:t>FR: TPF RR.2007.52 du 13 juin 2007</w:t>
      </w:r>
    </w:p>
    <w:p>
      <w:r>
        <w:t>IT: TPF RR.2007.52 del 13 giugno 2007</w:t>
      </w:r>
    </w:p>
    <w:p>
      <w:pPr>
        <w:pStyle w:val="Heading2"/>
      </w:pPr>
      <w:r>
        <w:t>Regeste</w:t>
      </w:r>
    </w:p>
    <w:p>
      <w:r>
        <w:t>Entraide internationale en matière pénale avec la France Qualité pour agir (80h let. b EIMP)</w:t>
      </w:r>
    </w:p>
    <w:p>
      <w:pPr>
        <w:pStyle w:val="Heading2"/>
      </w:pPr>
      <w:r>
        <w:t>Erwägungen</w:t>
      </w:r>
    </w:p>
    <w:p>
      <w:r>
        <w:rPr>
          <w:b/>
        </w:rPr>
        <w:t>E. 1.1</w:t>
      </w:r>
    </w:p>
    <w:p>
      <w:r>
        <w:t>En vertu de l’art. 28 al. 1 let. e ch. 1 LTPF (nouvelle teneur selon le ch. 14 de l’annexe à la loi du 17 juin 2005 sur le Tribunal administratif fédéral, en vigueur depuis le 1er janvier 2007; RS 173.32), mis en relation avec l’art. 80e al. 1 de la loi fédérale du 20 mars 1981 sur l’entraide internatio- nale en matière pénale (loi sur l’entraide pénale internationale [EIMP]; RS 351.1), la Cour des plaintes du Tribunal pénal fédéral est compétente pour connaître des recours dirigés contre la décision de clôture rendue par l’autorité cantonale d’exécution.</w:t>
      </w:r>
    </w:p>
    <w:p>
      <w:r>
        <w:t>- 5 -</w:t>
      </w:r>
    </w:p>
    <w:p>
      <w:r>
        <w:rPr>
          <w:b/>
        </w:rPr>
        <w:t>E. 1.2</w:t>
      </w:r>
    </w:p>
    <w:p>
      <w:r>
        <w:t>L'entraide judiciaire entre la République française et la Confédération suis- se est régie par la Convention européenne d’entraide judiciaire en matière pénale (CEEJ; 0.351.1), entrée en vigueur pour la Suisse le 20 mars 1967 et pour la France le 21 août 1967, ainsi que par l'accord bilatéral complétant cette Convention (RS 0.351.934.92), conclu le 28 octobre 1996 et entré en vigueur le 1er mai 2000. Les dispositions de ces traités l'empor- tent sur le droit autonome qui régit la matière, soit l’EIMP et son ordonnan- ce d'exécution (OEIMP; RS 351.11). Celles-ci restent toutefois applicables aux questions non réglées, explicitement ou implicitement, par le droit con- ventionnel, et lorsque le droit interne est plus favorable à l'entraide que le traité (ATF 123 II 134 consid. 1a p. 136; 122 II 140 consid. 2 p. 142; 120 Ib 120 consid. 1a et les arrêts cités).</w:t>
      </w:r>
    </w:p>
    <w:p>
      <w:r>
        <w:rPr>
          <w:b/>
        </w:rPr>
        <w:t>E. 1.3</w:t>
      </w:r>
    </w:p>
    <w:p>
      <w:r>
        <w:t>Par analogie avec la pratique du Tribunal fédéral, le Tribunal pénal fédéral examine librement si les conditions pour accorder l’entraide sont remplies et dans quelle mesure la coopération internationale doit être accordée (ATF 123 II 134 consid. 1d p. 136/137; 118 Ib 269 consid. 2e p. 275). Il n’est pas lié par les conclusions des parties et statue avec une libre cognition sur les griefs soulevés, sans toutefois être tenu, comme le serait une autorité de surveillance, de vérifier d’office la conformité de la décision attaquée à l'en- semble des dispositions applicables en la matière (art. 25 al. 6 EIMP; ATF 130 II 337 consid. 1.4 p. 341 et les arrêts cités). Selon l’art. 80e al. 1 EIMP, le recours est ouvert contre les décisions de clôture de l’autorité cantonale ou fédérale d’exécution. Déposé dans le délai de 30 jours dont il est ques- tion à l’art. 80k EIMP, le présent recours est interjeté en temps utile.</w:t>
      </w:r>
    </w:p>
    <w:p>
      <w:r>
        <w:rPr>
          <w:b/>
        </w:rPr>
        <w:t>E. 2.1</w:t>
      </w:r>
    </w:p>
    <w:p>
      <w:r>
        <w:t>Selon l’art. 80h let. b EIMP, a qualité pour agir quiconque est touché per- sonnellement et directement par une mesure d’entraide et a un intérêt di- gne de protection à ce qu’elle soit annulée ou modifiée. La personne visée par la procédure pénale étrangère peut recourir aux mêmes conditions (art. 21 al. 3 EIMP; ATF 130 II 162 consid. 1.1). L’art. 9a OEIMP précise que sont en particulier réputés personnellement et directement touchés, au sens des art. 21 al. 3 et 80h EIMP, le titulaire d’un compte bancaire en cas d’informations sur celui-ci (let. a), et le propriétaire ou le locataire, en cas de perquisition (let. b). L’intérêt fondant la qualité pour agir peut être juridi- 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w:t>
      </w:r>
    </w:p>
    <w:p>
      <w:r>
        <w:t>- 6 -</w:t>
      </w:r>
    </w:p>
    <w:p>
      <w:r>
        <w:t>être influencée par le sort de la cause; il faut que l’admission du recours procure au recourant un avantage de nature économique, matérielle ou idéale. Le recours formé dans le seul intérêt de la loi ou d’un tiers est en revanche irrecevable (ATF 130 II 162 consid. 1.1; 128 II 211 consid. 2.3; 126 II 258 consid. 2d; 122 II 130 consid. 2a). S’agissant du témoin, la juris- prudence admet la qualité pour agir de celui-ci, au sens de l’art. 80h let. b EIMP, dans une mesure limitée. Il peut s’opposer à la transmission des procès-verbaux de son audition, mais uniquement dans la mesure où les renseignements communiqués le concernent personnellement ou lorsqu'il se prévaut de son droit de refuser de témoigner; il n’a pas qualité pour agir, en revanche, lorsque sa déposition porte sur des comptes bancaires dont il n'est pas juridiquement le titulaire (ATF 122 II 130 consid. 2b p. 133; 121 II 459 consid. 2c p. 462). Enfin, le témoin ne peut s’opposer qu’à la transmis- sion de ses propres déclarations, mais non à la communication de pièces saisies lors d’une perquisition (arrêt non publié C. du 27 février 1998, cité par ROBERT ZIMMERMANN, La coopération judiciaire internationale en ma- tière pénale, 2e éd., Berne 2004, p. 350, note 2069).</w:t>
      </w:r>
    </w:p>
    <w:p>
      <w:r>
        <w:rPr>
          <w:b/>
        </w:rPr>
        <w:t>E. 2.2</w:t>
      </w:r>
    </w:p>
    <w:p>
      <w:r>
        <w:t>Dans le cas d’espèce, il ressort du procès-verbal d’audition du 1er novem- bre 2004 (act. 1.5) que le recourant a été entendu en qualité de témoin as- sermenté. A cette occasion, il a déposé notamment sur la date et les cir- constances de la création de la société H., son rôle dans la gestion de celle-ci, son statut d’administrateur rémunéré par la société H., ainsi que sur les comptes bancaires détenus en Suisse par cette même société. Le recourant a également déposé au sujet de B. (inculpé en France) et de ses relations avec celui-ci dans le cadre de l’activité de la société H.. Sur le vu des principes rappelés ci-dessus, le recourant ne saurait valablement s’opposer à la transmission du procès-verbal litigieux à défaut de s’être prononcé sur des renseignements personnels autres que ceux relatifs à son statut dans la société. Il convient en outre de relever qu’il ne s’est pas non plus prévalu de son droit de refuser de témoigner. Il s’ensuit que la qualité pour agir doit lui être déniée en ce qui concerne la transmission du procès-verbal querellé à l’autorité requérante.</w:t>
      </w:r>
    </w:p>
    <w:p>
      <w:r>
        <w:rPr>
          <w:b/>
        </w:rPr>
        <w:t>E. 3</w:t>
      </w:r>
    </w:p>
    <w:p>
      <w:r>
        <w:t>Il ressort du procès-verbal d’audition du 1er novembre 2004 ainsi que du mémoire de recours que, quelques jours après l’audition, le recourant a remis, à la requête du juge d’instruction, la documentation relative à la société H. (comptabilité de la société pour les années 2000 à 2003). La question qui se pose est celle de savoir si, à la lumière des principes régissant la qualité pour agir rappelés au considérant 2, ou en vertu d’un</w:t>
      </w:r>
    </w:p>
    <w:p>
      <w:r>
        <w:t>- 7 -</w:t>
      </w:r>
    </w:p>
    <w:p>
      <w:r>
        <w:t>autre titre, le recourant a la qualité pour s’opposer à la transmission de la documentation en question.</w:t>
      </w:r>
    </w:p>
    <w:p>
      <w:r>
        <w:rPr>
          <w:b/>
        </w:rPr>
        <w:t>E. 3.1</w:t>
      </w:r>
    </w:p>
    <w:p>
      <w:r>
        <w:t>Ainsi que le démontrent les actes du dossier, notamment l’extrait du Regis- tre du commerce de Genève (act. 7.3), A. était l’administrateur de la socié- té H. dont la faillite a été prononcée le 7 juillet 2005 par jugement du Tribu- nal de première instance de Genève. A l’époque de la production de la do- cumentation relative à la société H., ainsi que relevé à juste titre par l’OFJ, le recourant n’agissait guère en sa qualité personnelle, mais en sa qualité d’administrateur de la société H.. Cela étant, seule la société, détentrice de la documentation saisie en son temps, doit être considérée comme direc- tement et personnellement touchée par la mesure d’entraide eu égard aux art. 80h let. b EIMP et 9a let. b OEIMP. Il en découle que le recourant n’a pas la qualité pour contester la transmission de la documentation litigieuse.</w:t>
      </w:r>
    </w:p>
    <w:p>
      <w:r>
        <w:rPr>
          <w:b/>
        </w:rPr>
        <w:t>E. 3.2</w:t>
      </w:r>
    </w:p>
    <w:p>
      <w:r>
        <w:t>S’agissant de l’ayant droit d’une personne morale dissoute, la jurispru- dence admet exceptionnellement sa qualité pour recourir s’il démontre, à l’appui de documents officiels, que la société a été liquidée (arrêt 1A.10/2000 du 18 mai 2000, consid. 1e; 1A.131/1999 du 26 août 1999, consid. 3 et 1A.236/1998 du 25 janvier 1999, consid. 1b/bb, jurisprudence citée dans l’arrêt 1A.212/2001 du 21 mars 2002, consid. 1.3.2). Il faut en outre que l’acte de dissolution indique clairement l’ayant droit comme son bénéficiaire (arrêt 1A.84/1999 du 31 mai 1999, consid. 2c, jurisprudence également citée dans l’arrêt 1A.212/2001 du 21 mars 2002, consid. 1.3.2). En l’espèce, puisque H. était une société anonyme de droit suisse, la quali- té pour agir reviendrait aux actionnaires de la société dissoute (art. 745 CO). Or, même s’il ressort du procès-verbal d’audition du 1er novembre 2004 que le recourant était titulaire d’une action de la société, cela ne suffit pas pour admettre sa qualité pour agir, étant donné que la société a été ra- diée du Registre du commerce sans aucune liquidation pour cause de dé- faut d’actifs (extrait du Registre du commerce, act. 7.3).</w:t>
      </w:r>
    </w:p>
    <w:p>
      <w:r>
        <w:rPr>
          <w:b/>
        </w:rPr>
        <w:t>E. 3.3</w:t>
      </w:r>
    </w:p>
    <w:p>
      <w:r>
        <w:t>Eu égard à l’obligation de conservation en lieu sûr des livres d’une société anonyme dissoute (art. 747 CO et ATF 131 IV 56 consid. 1.4.2), on peut, à l’instar de l’OFJ, se poser la question de savoir si le recourant, en tant qu’administrateur de la société dissoute, est touché personnellement et di- rectement au sens de l’art. 9a let. b EIMP. Tel pourrait être le cas dans l’hypothèse où les livres auraient été déposés chez lui. Cette question ne revêt toutefois qu’un intérêt théorique. En effet, les documents saisis n’ont jamais été en dépôt chez le recourant après la dissolution de la société. Celle-ci est intervenue le 28 novembre 2005, c’est-à-dire environ une an- née après la remise des documents au juge d’instruction. Lors de la re- mise, en tant que personne morale encore existante, seule la société H.</w:t>
      </w:r>
    </w:p>
    <w:p>
      <w:r>
        <w:t>- 8 -</w:t>
      </w:r>
    </w:p>
    <w:p>
      <w:r>
        <w:t>était personnellement et directement touchée.</w:t>
      </w:r>
    </w:p>
    <w:p>
      <w:r>
        <w:rPr>
          <w:b/>
        </w:rPr>
        <w:t>E. 4</w:t>
      </w:r>
    </w:p>
    <w:p>
      <w:r>
        <w:t>Au vu de ce qui précède, le recours doit être déclaré irrecevable sans qu’il y ait à examiner les argumentations soulevées au fond.</w:t>
      </w:r>
    </w:p>
    <w:p>
      <w:r>
        <w:rPr>
          <w:b/>
        </w:rPr>
        <w:t>E. 5</w:t>
      </w:r>
    </w:p>
    <w:p>
      <w:r>
        <w:t>Les frais de procédure sont mis à la charge de la partie qui succombe (art. 63 al. 1 PA, applicable par renvoi de l’art. 30 let. b LTPF). L’émolument judiciaire est calculé conformément à l’art. 3 du règlement du 11 février 2004 fixant les émoluments judiciaires perçus par le Tribunal pénal fédéral (RS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parle- 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 En vertu de l’art. 63 al. 1 PA, les frais judiciaires sont mis à la charge de la partie qui succombe (1re phr.). En l’occurrence, le recourant ayant succombé, les frais sont mis à sa charge à hauteur de Fr. 4000.--, montant entièrement couvert par l’avance de frais.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