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RR.2007.33 vom 12. März 2007</w:t>
      </w:r>
    </w:p>
    <w:p>
      <w:r>
        <w:t>Bundesstrafgericht, 2007-03-12, FR</w:t>
      </w:r>
    </w:p>
    <w:p>
      <w:r>
        <w:rPr>
          <w:b/>
        </w:rPr>
        <w:t xml:space="preserve">Quelle: </w:t>
      </w:r>
      <w:r>
        <w:t>https://mcp.opencaselaw.ch/entscheid/bstger_RR.2007.33</w:t>
      </w:r>
    </w:p>
    <w:p>
      <w:r>
        <w:t>FR: TPF RR.2007.33 du 12 mars 2007</w:t>
      </w:r>
    </w:p>
    <w:p>
      <w:r>
        <w:t>IT: TPF RR.2007.33 del 12 marzo 2007</w:t>
      </w:r>
    </w:p>
    <w:p>
      <w:pPr>
        <w:pStyle w:val="Heading2"/>
      </w:pPr>
      <w:r>
        <w:t>Regeste</w:t>
      </w:r>
    </w:p>
    <w:p>
      <w:r>
        <w:t>Entraide internationale en matière pénale avec la France Décision de clôture (art. 25 et 80e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1er janvier 2007; RS 173.32), mis en relation avec l’art. 80e al. 1 de la loi fédérale du 20 mars 1981 sur l’entraide internationale en matière pénale (loi sur l’entraide pénale internationale [EIMP]; RS 351.1), la Cour des plaintes du Tribunal pénal fédéral est compétente pour connaître des recours dirigés contre la décision de clôture rendue par l’autorité cantonale d’exécution.</w:t>
      </w:r>
    </w:p>
    <w:p>
      <w:r>
        <w:rPr>
          <w:b/>
        </w:rPr>
        <w:t>E. 1.2</w:t>
      </w:r>
    </w:p>
    <w:p>
      <w:r>
        <w:t>Selon l’art. 80h let. b EIMP, a qualité pour agir quiconque est touché personnellement et directement par une mesure d’entraide et a un intérêt</w:t>
      </w:r>
    </w:p>
    <w:p>
      <w:r>
        <w:t>- 3 -</w:t>
      </w:r>
    </w:p>
    <w:p>
      <w:r>
        <w:t>digne de protection à ce qu’elle soit annulée ou modifiée. La personne visée par la procédure pénale étrangère peut recourir aux mêmes conditions (art. 21 al. 3 EIMP; ATF 130 II 162 consid. 1.1). La personne entendue à titre de prévenu a qualité au sens de ces dispositions pour s’opposer à la transmission du procès-verbal relatif à son audition dans la mesure où les renseignements communiqués la concernent personnellement ou lorsqu’elle se prévaut de son droit de se taire (arrêt du Tribunal fédéral 1A.268/2004 du 11 février 2005, consid. 2.1). Adressé dans les trente jours à compter de la notification de l’ordonnance querellée (art. 80k EIMP), le recours est formellement recevable.</w:t>
      </w:r>
    </w:p>
    <w:p>
      <w:r>
        <w:rPr>
          <w:b/>
        </w:rPr>
        <w:t>E. 2</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vigueur le 1er mai 2000. Les dispositions de ces traités l'emportent sur le droit autonome qui régit la matière, soit l’EIMP et son ordonnance d'exécution (OEIMP; RS 351.11). Celles-ci restent toutefois applicables aux questions non réglées, explicitement ou implicitement, par le droit conventionnel, et lorsque le droit interne est plus favorable à l'entraide que le traité (ATF 123 II 134 consid. 1a p. 136; 122 II 140 consid. 2 p. 142; 120 Ib 120 consid. 1a et les arrêts cités).</w:t>
      </w:r>
    </w:p>
    <w:p>
      <w:r>
        <w:rPr>
          <w:b/>
        </w:rPr>
        <w:t>E. 3</w:t>
      </w:r>
    </w:p>
    <w:p>
      <w:r>
        <w:t>Par analogie avec le Tribunal fédéral, le Tribunal pénal fédéral examine librement si les conditions pour accorder l’entraide sont remplies et dans quelle mesure la coopération internationale doit être accordée (ATF 123 II 134 consid. 1d p. 136/137; 118 Ib 269 consid. 2e p. 275). Il n'est pas lié par les conclusions des parties et statue avec une libre cognition sur les griefs soulevés, sans toutefois être tenu, comme le serait une autorité de surveillance, de vérifier d'office la conformité de la décision attaquée à l'ensemble des dispositions applicables en la matière (ATF 130 II 337 consid. 1.4 p. 341 et les arrêts cités).</w:t>
      </w:r>
    </w:p>
    <w:p>
      <w:r>
        <w:rPr>
          <w:b/>
        </w:rPr>
        <w:t>E. 4</w:t>
      </w:r>
    </w:p>
    <w:p>
      <w:r>
        <w:t>Sans fournir quelque pièce que ce soit à l’appui de ses dires, le recourant se borne à alléguer que la procédure introduite contre lui en France, par son ex-épouse, serait abusive et qu’un arrangement à l’amiable aurait été convenu entre les parties. De ce fait, selon le recourant, la requête</w:t>
      </w:r>
    </w:p>
    <w:p>
      <w:r>
        <w:t>- 4 -</w:t>
      </w:r>
    </w:p>
    <w:p>
      <w:r>
        <w:t>d’entraide n’aurait plus lieu d’être. Il n’allègue toutefois aucun élément concret permettant de confirmer ses dires.</w:t>
      </w:r>
    </w:p>
    <w:p>
      <w:r>
        <w:t>Les considérations du recourant constituent exclusivement une argumentation à décharge, laquelle est irrecevable (arrêt du Tribunal fédéral 1A.59/ 2000 du 10 mars 2000, consid. 2b). En outre, selon la jurisprudence et la doctrine, l’autorité suisse valablement saisie d’une demande d’entraide judiciaire internationale n’a pas à interpréter les décisions intervenues entre-temps dans l’Etat requérant; dans la mesure où la demande d’entraide n’a pas été retirée par l’autorité compétente, il y a lieu d’en achever l’exécution (Arrêt du Tribunal fédéral 1A.218/2003 du 17 décembre 2003, consid. 3.5; ZIMMERMANN, La coopération judiciaire internationale en matière pénale, Berne 2004, p. 175, n° 168). Au vu de ce qui précède, le recourant devra, le cas échéant, faire valoir ses griefs relatifs au défaut d'objet de la procédure étrangère par-devant les autorités judiciaires de l'Etat requérant. C'est, en effet, ce qu'il semble vouloir faire en exprimant le souhait d'«organiser sa défense et de plaider devant les tribunaux français» (act. 1). Dans la mesure où le recourant ne soulève aucun grief à l’encontre de l’ordonnance formellement querellée, son recours est dépourvu de fondement et doit par conséquent être rejeté.</w:t>
      </w:r>
    </w:p>
    <w:p>
      <w:r>
        <w:rPr>
          <w:b/>
        </w:rPr>
        <w:t>E. 5</w:t>
      </w:r>
    </w:p>
    <w:p>
      <w:r>
        <w:t>Le recours étant d’emblée infondé, la Cour de céans a renoncé à procéder à un échange d’écriture (art. 57 al. 1 PA a contrario) et à exiger une avance de frais (art. 63 al. 4 PA).</w:t>
      </w:r>
    </w:p>
    <w:p>
      <w:r>
        <w:rPr>
          <w:b/>
        </w:rPr>
        <w:t>E. 6</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500.--.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w:t>
      </w:r>
    </w:p>
    <w:p>
      <w:r>
        <w:t>- 5 -</w:t>
      </w:r>
    </w:p>
    <w:p>
      <w:r>
        <w:t>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