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RR.2007.28 vom 21. März 2007</w:t>
      </w:r>
    </w:p>
    <w:p>
      <w:r>
        <w:t>Bundesstrafgericht, 2007-03-21, FR</w:t>
      </w:r>
    </w:p>
    <w:p>
      <w:r>
        <w:rPr>
          <w:b/>
        </w:rPr>
        <w:t xml:space="preserve">Quelle: </w:t>
      </w:r>
      <w:r>
        <w:t>https://mcp.opencaselaw.ch/entscheid/bstger_RR.2007.28</w:t>
      </w:r>
    </w:p>
    <w:p>
      <w:r>
        <w:t>FR: TPF RR.2007.28 du 21 mars 2007</w:t>
      </w:r>
    </w:p>
    <w:p>
      <w:r>
        <w:t>IT: TPF RR.2007.28 del 21 marzo 2007</w:t>
      </w:r>
    </w:p>
    <w:p>
      <w:pPr>
        <w:pStyle w:val="Heading2"/>
      </w:pPr>
      <w:r>
        <w:t>Regeste</w:t>
      </w:r>
    </w:p>
    <w:p>
      <w:r>
        <w:t>Extradition à l'Allemagne Mandat d'arrêt en vue d'extradition (art. 47 ss EIMP)</w:t>
      </w:r>
    </w:p>
    <w:p>
      <w:pPr>
        <w:pStyle w:val="Heading2"/>
      </w:pPr>
      <w:r>
        <w:t>Erwägungen</w:t>
      </w:r>
    </w:p>
    <w:p>
      <w:r>
        <w:rPr>
          <w:b/>
        </w:rPr>
        <w:t>E. 1</w:t>
      </w:r>
    </w:p>
    <w:p>
      <w:r>
        <w:t>En vertu de l’art. 28 al. 1 let. e ch. 1 LTPF (nouvelle teneur selon le ch. 14 de l’annexe à la loi du 17 juin 2005 sur le Tribunal administratif fédéral, en vigueur depuis le 1er janvier 2007; RS 173.32), mis en relation avec l’art. 48 al. 2 de la loi fédérale du 20 mars 1981 sur l’entraide internationale en matière pénale (loi sur l’entraide pénale internationale [EIMP]; RS 351.1), la Cour des plaintes du Tribunal pénal fédéral est compétente pour connaître des recours dirigés contre le mandat d’arrêt à titre extraditionnel. Adressé dans les dix jours à compter de la notification du mandat d’arrêt (art. 48 al. 2 EIMP), le recours est formellement recevable.</w:t>
      </w:r>
    </w:p>
    <w:p>
      <w:r>
        <w:rPr>
          <w:b/>
        </w:rPr>
        <w:t>E. 2</w:t>
      </w:r>
    </w:p>
    <w:p>
      <w:r>
        <w:t>L'extradition entre la Suisse et l’Allemagne est régie par la Convention européenne d’extradition (CEExtr; RS 0.353.1; ci-après la Convention), entrée en vigueur le 20 mars 1967 pour la Suisse et le 1er janvier 1977 pour la République fédérale d'Allemagne, par un accord bilatéral destiné à compléter la Convention et à faciliter son application, conclu le 13 novembre 1969 et entré en vigueur le 1er janvier 1977 (RS 0.353.913.61), ainsi que par le deuxième Protocole additionnel à la Convention (RS 0.353.12) conclu le 17 mars 1978, entré en vigueur le 9 juin 1985 pour la Suisse et le 6 juin 1991 pour l’Allemagne. 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la Convention (ATF 122 II 140 consid. 2et les arrêts cités).</w:t>
      </w:r>
    </w:p>
    <w:p>
      <w:r>
        <w:rPr>
          <w:b/>
        </w:rPr>
        <w:t>E. 2.1</w:t>
      </w:r>
    </w:p>
    <w:p>
      <w:r>
        <w:t>Selon l'art. 16 ch. 1 de la Convention, disposition qui régit l'arrestation provisoire aux fins d'extradition, les autorités compétentes de l'Etat requérant peuvent, en cas d'urgence, demander l'arrestation provisoire de l'individu recherché; les autorités compétentes de l'Etat requis statuent sur cette demande conformément à la loi de l’Etat requis. Saisie d’un recours fondé sur l’art. 48 ch. 2 EIMP, la Cour des plaintes n’a pas, à ce stade de la procédure, à se prononcer sur le bien- fondé de la demande d’extradition (ATF 130 II 306 consid. 2.3 p. 310). Elle se borne à examiner la légalité de l’arrestation et si la détention aux fins d’extradition se justifie (ATF 111 IV 108 consid. 3; MOREILLON, Entraide internationale en matière pénale, Bâle/Genève/Munich 2004, p. 284, n° 19).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Selon une jurisprudence constante, la détention est la règle, tandis que la mise en liberté demeure l’exception (ATF 130</w:t>
      </w:r>
    </w:p>
    <w:p>
      <w:r>
        <w:t>- 4 -</w:t>
      </w:r>
    </w:p>
    <w:p>
      <w:r>
        <w:t>II 306 consid. 2.2 p. 309), la mise en liberté provisoire étant au demeurant soumise à des exigences plus strictes en matière de détention extraditionnelle que de détention préventive (ATF 130 II 306 consid. 2.2 p. 310; 111 IV 108 consid. 2; 109 Ib 223 consid. 2c p. 228;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(arrêt G.31/1995 du 21 juin 1995, consid. 1; ATF 111 IV 108 consid. 2).</w:t>
      </w:r>
    </w:p>
    <w:p>
      <w:r>
        <w:rPr>
          <w:b/>
        </w:rPr>
        <w:t>E. 2.2</w:t>
      </w:r>
    </w:p>
    <w:p>
      <w:r>
        <w:t>Pour s’opposer à son extradition, le recourant se prévaut du fait qu'il habitait au Kosovo au moment des faits qui lui sont reprochés (act. 1, p. 11). Il affirme ne plus avoir aucun contact avec son ex-épouse depuis 2000 et ne jamais avoir envoyé de paquet à destination de celle-ci (act. 1.5 et 1.7).</w:t>
      </w:r>
    </w:p>
    <w:p>
      <w:r>
        <w:rPr>
          <w:b/>
        </w:rPr>
        <w:t>E. 2.2.1</w:t>
      </w:r>
    </w:p>
    <w:p>
      <w:r>
        <w:t>Même si elle n'est pas prévue par la CEExtr et peut ainsi se trouver en contradiction avec l'obligation d'extrader découlant de l'art. 1er de cette Convention, la faculté de fournir un alibi correspond à un principe général du droit extraditionnel (ATF 123 II 279 consid. 2b p. 281; 113 Ib 276 consid. 3c p. 283). Il s'agit alors d'éviter une poursuite pénale injustifiée à une personne manifestement innocente (ATF 123 II 279 consid. 2b p. 281 et les arrêts cités). La notion d'alibi doit être comprise dans son sens littéral, c'est-à-dire comme la preuve évidente que la personne poursuivie ne se trouvait pas sur les lieux de l'infraction au moment de sa commission (ATF 122 II 373 consid. 1c p. 376; 113 Ib 276 consid. 3b p. 282).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Lorsque la personne poursuivie affirme être en mesure de fournir un alibi, l'OFJ procède aux vérifications nécessaires; il refuse l'extradition si le fait invoqué est évident; sinon, il transmet les preuves à décharge à l'Etat requérant et l'invite à se prononcer sur le maintien de la demande (art. 53 EIMP). Si celui-ci confirme sa demande, l'extradition doit en principe être accordée, car il n'appartient pas à l'Office fédéral de la justice de contrôler la prise de position de l'Etat requérant (cf. ATF 113 Ib 276 consid. 4c p.</w:t>
      </w:r>
    </w:p>
    <w:p>
      <w:r>
        <w:t>- 5 -</w:t>
      </w:r>
    </w:p>
    <w:p>
      <w:r>
        <w:t>286). Ce devoir de vérification n’incombe toutefois à l’OFJ que dans l’hypothèse où le fait invoqué est susceptible de conduire au refus de l’extradition et à la libération de l’inculpé, ou au retrait de la demande d’extradition (ATF 109 Ib 317 consid. 11c p. 325).</w:t>
      </w:r>
    </w:p>
    <w:p>
      <w:r>
        <w:rPr>
          <w:b/>
        </w:rPr>
        <w:t>E. 2.2.2</w:t>
      </w:r>
    </w:p>
    <w:p>
      <w:r>
        <w:t>En l'occurrence, le recourant se limite à nier les faits qui lui sont reprochés par les autorités allemandes, sans fournir valablement d’alibi au sens de l’art. 47 al. 1 let. b EIMP. En particulier, le fait que le recourant habitait au Kosovo durant la période litigieuse n’apporte pas la preuve qu’il est étranger à l’envoi postal de billets de banque contrefaits à son ex-épouse depuis la Serbie, et encore moins à la contrefaçon de ces billets.</w:t>
      </w:r>
    </w:p>
    <w:p>
      <w:r>
        <w:rPr>
          <w:b/>
        </w:rPr>
        <w:t>E. 2.3</w:t>
      </w:r>
    </w:p>
    <w:p>
      <w:r>
        <w:t>De l’avis du recourant, l’état de fait communiqué par l’OFJ serait à ce point imprécis qu’il lui serait impossible de se défendre utilement. En particulier, l’absence de mention de la date et du lieu d’envoi, respectivement de fabrication des faux billets de 200 € cités dans la demande d’arrestation Interpol, violerait les exigences légales.</w:t>
      </w:r>
    </w:p>
    <w:p>
      <w:r>
        <w:rPr>
          <w:b/>
        </w:rPr>
        <w:t>E. 2.3.1</w:t>
      </w:r>
    </w:p>
    <w:p>
      <w:r>
        <w:t>Aux termes de l’art. 16 ch. 2 de la Convention, la demande d’arrestation provisoire doit indiquer l'existence d'une des pièces exigées par l'art. 12 ch. 2 let. a, et faire part de l'intention d'envoyer une demande d'extradition; elle mentionnera également l'infraction pour laquelle l'extradition est demandée, le temps et le lieu de sa perpétration, ainsi que le signalement aussi précis que possible de l'individu recherché. Cette disposition qui règle, mieux que l'art. 28 EIMP, les formalités à respecter en vue d'une arrestation aux fins d'extradition et a donc le pas sur celle-ci, doit d'une part permettre à l'autorité requise d'apprécier si des motifs s'opposent manifestement à l'arrestation ou au maintien en détention aux fins d'extradition et, d'autre part, donner à la personne poursuivie la possibilité de s'opposer à sa détention, ce qu'elle ne peut faire si elle ignore ce qu'on lui reproche (ATF 111 Ib 319 consid. 3). Selon une jurisprudence constante, il n'y a toutefois pas lieu de se montrer trop exigeant dans la désignation du temps et du lieu de l'infraction, dès lors qu'une demande d'arrestation provisoire est généralement présentée au début de l'enquête, soit avant l'instruction approfondie du cas, une arrestation devant intervenir tôt pour être utile (ATF 106 Ib 264 consid. 3). L'art. 28 al. 6 EIMP prévoit d'ailleurs expressément la possibilité de modifier ou de compléter une demande irrégulière en la forme, l'adoption de mesures provisoires n'étant pas touchée pour autant.</w:t>
      </w:r>
    </w:p>
    <w:p>
      <w:r>
        <w:rPr>
          <w:b/>
        </w:rPr>
        <w:t>E. 2.3.2</w:t>
      </w:r>
    </w:p>
    <w:p>
      <w:r>
        <w:t>En l’espèce, le recourant a parfaitement compris ce que les autorités allemandes lui reprochent, de sorte qu’il est en mesure de s’opposer de manière efficace à son maintien en détention. L’extradition ne saurait être exclue par le simple fait que l’exposé des faits ne permet pas de faire valoir une preuve par alibi.</w:t>
      </w:r>
    </w:p>
    <w:p>
      <w:r>
        <w:t>- 6 -</w:t>
      </w:r>
    </w:p>
    <w:p>
      <w:r>
        <w:t>S’agissant, de manière générale, de l’infraction de falsification de la monnaie, on voit mal comment exiger des autorités d’enquête qu’elles situent les agissements délictueux dans le temps et l’espace, cette information n’étant en principe – et pour cause – connue que du faussaire lui-même.</w:t>
      </w:r>
    </w:p>
    <w:p>
      <w:r>
        <w:rPr>
          <w:b/>
        </w:rPr>
        <w:t>E. 2.4.1</w:t>
      </w:r>
    </w:p>
    <w:p>
      <w:r>
        <w:t>Le recourant reproche ensuite à tort à l’OFJ d’avoir «travesti» les renseignements donnés par Interpol en faisant référence à l’infraction de falsification de monnaie dans le mandat d’arrêt querellé. En effet, si la demande d’arrestation émise le 17 mars 2006 par Interpol Wiesbaden (act. 1.3) mentionne que A. est accusé par les autorités allemandes d’avoir expédié, avant le 19 octobre 2005, douze billets de 200 € contrefaits à son ex-épouse, B., et d’avoir convenu avec elle le partage des bénéfices retirés de l’écoulement de ces faux billets, la demande d’Interpol mentionne par ailleurs que A. est recherché en vertu d’un mandat d’arrêt émis par le Tribunal de Z. pour falsification de monnaie (counterfeiting of money), précisant que ladite infraction est passible d’une peine privative de liberté de 15 ans au plus selon le paragraphe 146 du Code pénal Allemand (Geldfälschung). Bien que rédigée de manière concise, la demande d’arrestation d’Interpol fait par conséquent clairement état de deux infractions distinctes, à savoir la mise en circulation de fausse monnaie d’une part et la falsification de monnaie d’autre part, reprenant en cela fidèlement les termes du mandat d’arrêt émis par le Tribunal de Z. (dossier OFJ, pièce n° 17).</w:t>
      </w:r>
    </w:p>
    <w:p>
      <w:r>
        <w:rPr>
          <w:b/>
        </w:rPr>
        <w:t>E. 2.4.2</w:t>
      </w:r>
    </w:p>
    <w:p>
      <w:r>
        <w:t>Le recourant relève enfin à juste titre que l’OFJ a commis une erreur en mentionnant Y. comme lieu de destination de l’envoi contenant les billets contrefaits. Ce lieu n’est en effet précisé ni dans le mandat d’arrêt du Tribunal de Z., ni dans la demande d’arrestation Interpol, Y. étant le lieu où B. a tenté d’écouler trois faux billets de 200 €. Cette confusion ne porte toutefois pas à conséquence au regard des principes exposés plus haut (supra 2.3.1), de sorte qu’elle ne saurait invalider le mandat d’arrêt querellé.</w:t>
      </w:r>
    </w:p>
    <w:p>
      <w:r>
        <w:t>Le recourant n'invoquant aucun des autres motifs prévus à l'art. 47 EIMP, son recours doit être rejeté.</w:t>
      </w:r>
    </w:p>
    <w:p>
      <w:r>
        <w:rPr>
          <w:b/>
        </w:rPr>
        <w:t>E. 3</w:t>
      </w:r>
    </w:p>
    <w:p>
      <w:r>
        <w:t>Le recourant demande l'assistance judiciaire. Selon l'article 65 al. 1 PA (applicable par renvoi de l'article 30 let. b LTPF), celle-ci est accordée à la partie indigente dont les conclusions ne paraissent pas vouées à l’échec. En l'espèce tel n'est pas le cas. En effet, des conclusions doivent être considérées comme vouées à l'échec lorsque les risques de perdre l'emportent nettement sur les chances de gagner, alors même qu'elles ne seraient pas manifestement mal fondées ou abusives (arrêt du Tribunal pénal fédéral BK_H183/04 du 10</w:t>
      </w:r>
    </w:p>
    <w:p>
      <w:r>
        <w:t>- 7 -</w:t>
      </w:r>
    </w:p>
    <w:p>
      <w:r>
        <w:t>décembre 2004, consid. 8 et références citées). Dans le cas présent, le dossier ne prête pas le flanc aux critiques relatives à l’imprécision des faits de la cause telles que formulées dans le mémoire de recours. Il était par ailleurs patent que le recourant ne disposait d’aucun alibi. Le recours avait donc d'emblée peu de chance d'être admis, de sorte que l'assistance judiciaire doit être refusée. Un émolument réduit est toutefois arrêté pour tenir compte de la situation financière du recourant (art. 63 al. 4bis PA, applicable par renvoi de l'article 30 let. b LTPF).</w:t>
      </w:r>
    </w:p>
    <w:p>
      <w:r>
        <w:rPr>
          <w:b/>
        </w:rPr>
        <w:t>E. 4</w:t>
      </w:r>
    </w:p>
    <w:p>
      <w:r>
        <w:t>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1'000.--.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