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RR.2007.170 vom 29. November 2007</w:t>
      </w:r>
    </w:p>
    <w:p>
      <w:r>
        <w:t>Bundesstrafgericht, 2007-11-29, DE</w:t>
      </w:r>
    </w:p>
    <w:p>
      <w:r>
        <w:rPr>
          <w:b/>
        </w:rPr>
        <w:t xml:space="preserve">Quelle: </w:t>
      </w:r>
      <w:r>
        <w:t>https://mcp.opencaselaw.ch/entscheid/bstger_RR.2007.170</w:t>
      </w:r>
    </w:p>
    <w:p>
      <w:r>
        <w:t>FR: TPF RR.2007.170 du 29 novembre 2007</w:t>
      </w:r>
    </w:p>
    <w:p>
      <w:r>
        <w:t>IT: TPF RR.2007.170 del 29 novembre 2007</w:t>
      </w:r>
    </w:p>
    <w:p>
      <w:pPr>
        <w:pStyle w:val="Heading2"/>
      </w:pPr>
      <w:r>
        <w:t>Regeste</w:t>
      </w:r>
    </w:p>
    <w:p>
      <w:r>
        <w:t>Internationale Rechtshilfe in Strafsachen an Österreich Eintretens- und Zwischenverfügung / Kontosperre (Art. 63 Abs. 2 lit. b i.V.m. Art. 80e Abs. 2 lit. a IRSG)</w:t>
      </w:r>
    </w:p>
    <w:p>
      <w:pPr>
        <w:pStyle w:val="Heading2"/>
      </w:pPr>
      <w:r>
        <w:t>Volltext</w:t>
      </w:r>
    </w:p>
    <w:p>
      <w:r>
        <w:t>B u n d e s s t r a f g e r i c h t T r i b u n a l p é n a l f é d é r a l T r i b u n a l e p e n a l e f e d e r a l e</w:t>
      </w:r>
    </w:p>
    <w:p>
      <w:r>
        <w:t>T r i b u n a l p e n a l f e d e r a l Geschäftsnummer: RR.2007.170</w:t>
      </w:r>
    </w:p>
    <w:p>
      <w:r>
        <w:t>Entscheid vom 29. November 2007 II. Beschwerdekammer Besetzung</w:t>
      </w:r>
    </w:p>
    <w:p>
      <w:r>
        <w:t>Bundesstrafrichter Bernard Bertossa, Vorsitz, Andreas J. Keller und Cornelia Cova, Gerichtsschreiberin Brigitte Brun</w:t>
      </w:r>
    </w:p>
    <w:p>
      <w:r>
        <w:t>A., vertreten durch B., Parteien Beschwerdeführerin</w:t>
      </w:r>
    </w:p>
    <w:p>
      <w:r>
        <w:t>gegen</w:t>
      </w:r>
    </w:p>
    <w:p>
      <w:r>
        <w:t>STAATSANWALTSCHAFT I DES KANTONS ZÜRICH, Beschwerdegegnerin</w:t>
      </w:r>
    </w:p>
    <w:p>
      <w:r>
        <w:t>Gegenstand</w:t>
      </w:r>
    </w:p>
    <w:p>
      <w:r>
        <w:t>Internationale Rechtshilfe in Strafsachen an Österreich</w:t>
      </w:r>
    </w:p>
    <w:p>
      <w:r>
        <w:t>Eintretens- und Zwischenverfügung / Kontosperre (Art. 63 Abs. 2 lit. b i.V.m. Art. 80e Abs. 2 lit. a IRSG)</w:t>
      </w:r>
    </w:p>
    <w:p>
      <w:r>
        <w:t>- 2 -</w:t>
      </w:r>
    </w:p>
    <w:p>
      <w:r>
        <w:t>Die II. Beschwerdekammer zieht in Erwägung, dass:</w:t>
      </w:r>
    </w:p>
    <w:p>
      <w:r>
        <w:t>− das Landesgericht Feldkirch (Österreich) im Zusammenhang mit einem bei ihm anhängigen Strafverfahren gegen A. wegen des Verdachts des ge- werbsmässigen schweren Betruges mit Begehren vom 7. bzw. 24. Septem- ber 2007 die Staatsanwaltschaft I des Kantons Zürich um Rechtshilfe er- suchte; − die Staatsanwaltschaft I des Kantons Zürich mit Eintretens- und Zwischen- verfügung vom 16. Oktober 2007 dem Rechtshilfeersuchen entsprach und von der Bank C. in Z., der Bank D. und von der Bank E. diverse Bankunter- lagen einforderte sowie u.a. die Sperrung von Vermögenswerten, welche auf A. lauten oder an denen sie wirtschaftlich berechtigt ist und die einen Saldo im Gegenwert von mindestens EUR 1000.-- aufweisen, anordnete (act. 2.1); − A. mit Eingabe vom 22. Oktober 2007 bei der II. Beschwerdekammer des Bundesstrafgerichts Beschwerde gegen die vorerwähnte Eintretens- und Zwischenverfügung einreichen liess mit dem sinngemässen Antrag, es sei Ziff. 5 der Eintretens- und Zwischenverfügung der Staatsanwaltschaft I des Kantons Zürich vom 16. Oktober 2007 dahingehend abzuändern, dass die Sperre über das Konto mit den Eingängen der AHV/IV- und SUVA-Renten von A. aufzuheben sei (act. 1 und 2); − sich die Staatsanwaltschaft I des Kantons Zürich bereit erklärte, die Sperre bezüglich des per 11. Oktober 2007 eingerichteten Privatkontos AHV/IV und SUVA-Eingänge der Beschwerdeführerin aufzuheben (act. 7.1); − die Beschwerdeführerin in der Folge mit Eingabe vom 14. November 2007 ihre Beschwerde zurückgezogen hat (act. 7); − das vorliegende Verfahren demnach zufolge Rückzugs der Beschwerde als erledigt abzuschreiben ist; − die Beschwerdeinstanz die Verfahrenskosten in der Regel der unterliegen- den Partei auferlegt, wobei ihr ausnahmsweise die Kosten auch erlassen werden können (vgl. Art. 63 Abs. 1 VwVG i.V.m. Art. 30 lit. b SGG); − die Beschwerdeführerin, welche die Beschwerde zurückgezogen hat, grund- sätzlich als unterliegende Partei zu gelten hat, es sich vorliegend jedoch rechtfertigt, auf die Erhebung von Gerichtsgebühren zu verzichten, nachdem die Beschwerdegegnerin dem Begehren der Beschwerdeführerin inhaltlich nachgekommen ist;</w:t>
      </w:r>
    </w:p>
    <w:p>
      <w:r>
        <w:t>- 3 -</w:t>
      </w:r>
    </w:p>
    <w:p>
      <w:r>
        <w:t>− die Bundesstrafgerichtskasse anzuweisen ist, der Beschwerdeführerin den geleisteten Kostenvorschuss von Fr. 3'000.-- zurückzuerstatten.</w:t>
      </w:r>
    </w:p>
    <w:p>
      <w:r>
        <w:t>- 4 -</w:t>
      </w:r>
    </w:p>
    <w:p>
      <w:r>
        <w:t>Demnach erkennt die II. Beschwerdekammer:</w:t>
      </w:r>
    </w:p>
    <w:p>
      <w:r>
        <w:t>1. Das Verfahren wird zufolge Rückzugs der Beschwerde als erledigt abge- schrieben.</w:t>
      </w:r>
    </w:p>
    <w:p>
      <w:r>
        <w:t>2. Es werden keine Gerichtsgebühren erhoben.</w:t>
      </w:r>
    </w:p>
    <w:p>
      <w:r>
        <w:t>3. Die Bundesstrafgerichtskasse wird angewiesen, der Beschwerdeführerin den geleisteten Kostenvorschuss von Fr. 3'000.-- zurückzuerstatten.</w:t>
      </w:r>
    </w:p>
    <w:p>
      <w:r>
        <w:t>Bellinzona, 4. Dezember 2007</w:t>
      </w:r>
    </w:p>
    <w:p>
      <w:r>
        <w:t>Im Namen der II. Beschwerdekammer des Bundesstrafgerichts</w:t>
      </w:r>
    </w:p>
    <w:p>
      <w:r>
        <w:t>Der Präsident:</w:t>
      </w:r>
    </w:p>
    <w:p>
      <w:r>
        <w:t>Die Gerichtsschreiberin:</w:t>
      </w:r>
    </w:p>
    <w:p>
      <w:r>
        <w:t>Zustellung an</w:t>
      </w:r>
    </w:p>
    <w:p>
      <w:r>
        <w:t>- B. - Staatsanwaltschaft I des Kantons Zürich (REC B-7/2007/493) - Bundesamt für Justiz Abt. Internationale Rechtshilfe</w:t>
      </w:r>
    </w:p>
    <w:p>
      <w:r>
        <w:t>- 5 -</w:t>
      </w:r>
    </w:p>
    <w:p>
      <w:r>
        <w:t>Rechtsmittelbelehrung Gegen selbständig eröffnete Vor- und Zwischenentscheide über die Zuständigkeit und über Aus- standsbegehren ist die Beschwerde zulässig (Art. 92 Abs. 1 BGG). Diese Entscheide können spä- ter nicht mehr angefochten werden (Art. 92 Abs. 2 BGG).</w:t>
      </w:r>
    </w:p>
    <w:p>
      <w:r>
        <w:t>Auf dem Gebiet der internationalen Rechtshilfe in Strafsachen sind andere selbständig eröffnete Vor- und Zwischenentscheide nicht anfechtbar. Vorbehalten bleiben Beschwerden gegen Entschei- de über die Auslieferungshaft sowie über die Beschlagnahme von Vermögenswerten und Wertge- genständen, sofern sie einen nicht wieder gutzumachenden Nachteil bewirken können, oder wenn die Gutheissung der Beschwerde sofort einen Entscheid herbeiführen und damit einen bedeuten- den Aufwand an Zeit oder Kosten für ein weitläufiges Beweisverfahren ersparen würde (vgl. Art. 93 Abs. 1 und 2 BGG). Ist die Beschwerde gegen einen Vor- oder Zwischenentscheid gemäss Art. 93 Abs. 1 und 2 BGG nicht zulässig oder wurde von ihr kein Gebrauch gemacht, so sind die betreffen- den Vor- und Zwischenentscheide durch Beschwerde gegen den Endentscheid anfechtbar, soweit sie sich auf dessen Inhalt auswirken (Art. 93 Abs. 3 BGG).</w:t>
      </w:r>
    </w:p>
    <w:p>
      <w:r>
        <w:t>Gegen einen Entscheid auf dem Gebiet der internationalen Rechtshilfe in Strafsachen ist die Be- schwerde nur zulässig, wenn es sich um einen besonders bedeutenden Fall handelt (vgl. Art. 84 Abs. 1 BGG). Ein besonders bedeutender Fall liegt insbesondere vor, wenn Gründe für die Annah- me bestehen, dass elementare Verfahrensgrundsätze verletzt worden sind oder das Verfahren im Ausland schwere Mängel aufweist (Art. 84 Abs. 2 BGG).</w:t>
      </w:r>
    </w:p>
    <w:p>
      <w:r>
        <w:t>Die Beschwerde ist innert zehn Tagen nach der Eröffnung der vollständigen Ausfertigung beim Bundesgericht einzureichen (vgl. Art. 100 Abs. 1 und 2 lit. b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