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RR.2007.157 vom 10. Oktober 2007</w:t>
      </w:r>
    </w:p>
    <w:p>
      <w:r>
        <w:t>Bundesstrafgericht, 2007-10-10, DE</w:t>
      </w:r>
    </w:p>
    <w:p>
      <w:r>
        <w:rPr>
          <w:b/>
        </w:rPr>
        <w:t xml:space="preserve">Quelle: </w:t>
      </w:r>
      <w:r>
        <w:t>https://mcp.opencaselaw.ch/entscheid/bstger_RR.2007.157</w:t>
      </w:r>
    </w:p>
    <w:p>
      <w:r>
        <w:t>FR: TPF RR.2007.157 du 10 octobre 2007</w:t>
      </w:r>
    </w:p>
    <w:p>
      <w:r>
        <w:t>IT: TPF RR.2007.157 del 10 ottobre 2007</w:t>
      </w:r>
    </w:p>
    <w:p>
      <w:pPr>
        <w:pStyle w:val="Heading2"/>
      </w:pPr>
      <w:r>
        <w:t>Regeste</w:t>
      </w:r>
    </w:p>
    <w:p>
      <w:r>
        <w:t>Internationale Rechtshilfe in Strafsachen an Spanien Kontosperre (Art. 63 Abs. 2 lit. b i.V.m. Art. 80e Abs. 2 lit. a IRSG), Zwischenverfügung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März 2007 und RR.2007.70 vom 30. Mai 2007), das Gericht jedoch den</w:t>
      </w:r>
    </w:p>
    <w:p>
      <w:r>
        <w:t>- 3 -</w:t>
      </w:r>
    </w:p>
    <w:p>
      <w:r>
        <w:t>konkreten Umständen, die zum Beschwerderückzug geführt haben, Rech- nung tragen und ganz oder teilweise auf die Erhebung einer Gerichtsgebühr verzichten kann (vgl. Art. 63 Abs. 1 VwVG; Urteil des Bundesgerichts 2P.294/2006 vom 20. Juni 2007, E. 6 m.w.H.); - die Beschwerdeführerin bei der Beschwerdegegnerin zwar mit ihrem Eventualantrag durchgedrungen ist, sie jedoch durch den Rückzug überdies auf die Beurteilung der Beschwerde in der Hauptsache verzichtet und zumin- dest diesbezüglich als unterliegende Partei zu gelten hat; - der Beschwerdeführerin daher eine reduzierte Gerichtsgebühr aufzuerlegen ist; - die Gerichtsgebühr auf CHF 400.-- anzusetzen ist (Art. 3 des Reglements vom 11. Februar 2004 über die Gerichtsgebühren vor dem Bundesstrafge- richt, SR 173.711.32; TPF RR.2007.6 vom 22. Februar 2007 E. 5), unter An- rechnung des geleisteten Kostenvorschusses von CHF 4'000.--, wobei die Bundesstrafgerichtskasse anzuweisen ist, der Beschwerdeführerin den Rest- betrag von CHF 3'600.-- zurückzuerstatten;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