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RR.2007.133 vom 18. September 2007</w:t>
      </w:r>
    </w:p>
    <w:p>
      <w:r>
        <w:t>Bundesstrafgericht, 2007-09-18, FR</w:t>
      </w:r>
    </w:p>
    <w:p>
      <w:r>
        <w:rPr>
          <w:b/>
        </w:rPr>
        <w:t xml:space="preserve">Quelle: </w:t>
      </w:r>
      <w:r>
        <w:t>https://mcp.opencaselaw.ch/entscheid/bstger_RR.2007.133</w:t>
      </w:r>
    </w:p>
    <w:p>
      <w:r>
        <w:t>FR: TPF RR.2007.133 du 18 septembre 2007</w:t>
      </w:r>
    </w:p>
    <w:p>
      <w:r>
        <w:t>IT: TPF RR.2007.133 del 18 settembre 2007</w:t>
      </w:r>
    </w:p>
    <w:p>
      <w:pPr>
        <w:pStyle w:val="Heading2"/>
      </w:pPr>
      <w:r>
        <w:t>Regeste</w:t>
      </w:r>
    </w:p>
    <w:p>
      <w:r>
        <w:t>Entraide judiciaire internationale en matière pénale au Brésil Remise de moyens de preuve (art. 74 EIMP)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décembre 2003 sur les services de certification dans le domaine de la signature électronique (SCSE; RS 943.03), de telle sorte qu’il ne saurait être admis;</w:t>
      </w:r>
    </w:p>
    <w:p>
      <w:r>
        <w:t>qu’ainsi, le seul mémoire de recours ayant une apparence de recevabilité formelle n’a été remis au tribunal qu’en dehors du délai légal, de telle sorte qu’il est irrecevable;</w:t>
      </w:r>
    </w:p>
    <w:p>
      <w:r>
        <w:t>que ce constat dispense la Cour d’ordonner un échange d’écritures (art. 57 al. 1 PA);</w:t>
      </w:r>
    </w:p>
    <w:p>
      <w:r>
        <w:t>que les frais sont à la charge de la recourante (art. 63 al. 1 PA).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