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RR.2007.125 vom 16. Oktober 2007</w:t>
      </w:r>
    </w:p>
    <w:p>
      <w:r>
        <w:t>Bundesstrafgericht, 2007-10-16, FR</w:t>
      </w:r>
    </w:p>
    <w:p>
      <w:r>
        <w:rPr>
          <w:b/>
        </w:rPr>
        <w:t xml:space="preserve">Quelle: </w:t>
      </w:r>
      <w:r>
        <w:t>https://mcp.opencaselaw.ch/entscheid/bstger_RR.2007.125</w:t>
      </w:r>
    </w:p>
    <w:p>
      <w:r>
        <w:t>FR: TPF RR.2007.125 du 16 octobre 2007</w:t>
      </w:r>
    </w:p>
    <w:p>
      <w:r>
        <w:t>IT: TPF RR.2007.125 del 16 ottobre 2007</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En matière d’entraide judiciaire, un recours est ouvert contre les décisions 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w:t>
      </w:r>
    </w:p>
    <w:p>
      <w:r>
        <w:t>- 5 -</w:t>
      </w:r>
    </w:p>
    <w:p>
      <w:r>
        <w:t>après que la recourante ait reçu la décision, le présent recours est interjeté en temps utile contre une décision de l’autorité fédérale d’exécution relative à la clôture de la procédure d’entraide judiciaire (art. 80e et 80k EIMP). La recourante a qualité pour recourir en tant que titulaire du compte bancaire dont le MPC a décidé de transmettre la documentation (art. 80h let. b EIMP et 9a let. a de l’ordonnance sur l’entraide pénale internationale [OEIMP]; RS 351.11; ATF 126 II 258 consid. 2d/aa; arrêt du Tribunal fédéral 1A.218/2000 du 6 novembre 2000, consid. 1c).</w:t>
      </w:r>
    </w:p>
    <w:p>
      <w:r>
        <w:t>Le présent arrêt est rédigé en français, langue de la décision attaquée (art. 33a al. 2 PA).</w:t>
      </w:r>
    </w:p>
    <w:p>
      <w:r>
        <w:rPr>
          <w:b/>
        </w:rPr>
        <w:t>E. 2</w:t>
      </w:r>
    </w:p>
    <w:p>
      <w:r>
        <w:t>Le 23 juillet 1932, la République fédérative du Brésil et la Confédération ont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rPr>
          <w:b/>
        </w:rPr>
        <w:t>E. 3</w:t>
      </w:r>
    </w:p>
    <w:p>
      <w:r>
        <w:t>La recourante invoque tout d’abord une violation du principe de connexité. Elle soutient qu’elle n’est pas mentionnée dans la requête d’entraide, qu’elle n’a jamais été active dans le domaine pharmaceutique et qu’elle n’a aucun lien direct avec B.. N’ayant elle-même participé à aucune vente aux enchères, les renseignements fournis seraient sans pertinence. La recou- rante précise que H., avec lequel elle est en rapport d’affaires, n’est pour sa part pas inculpé au Brésil.</w:t>
      </w:r>
    </w:p>
    <w:p>
      <w:r>
        <w:t>Ce moyen est manifestement mal fondé. En effet, selon doctrine et ju- risprudence, il suffit, aux fins de l’entraide, qu’il existe un rapport objectif entre la mesure d’entraide et les faits poursuivis à l’étranger, sans que la</w:t>
      </w:r>
    </w:p>
    <w:p>
      <w:r>
        <w:t>- 6 -</w:t>
      </w:r>
    </w:p>
    <w:p>
      <w:r>
        <w:t>personne soumise à la mesure n’ait forcément participé aux agissements décrits dans la requête (arrêt du Tribunal fédéral 1A.244/2006 du 26 janvier 2007, consid. 3; LAURENT MOREILLON, Entraide internationale en matière pénale, Bâle 2004, n° 153 ss ad introduction générale). En l’occurrence, la recourante reconnaît elle-même qu’il existe un lien entre elle et le proces- sus délictueux pour lequel B. est poursuivi dans son pays, relevant en effet que ce dernier est le fils de son actionnaire et administrateur H.. Par ail- leurs, la recourante ne nie pas l’existence des mouvements de fonds identi- fiés par l’autorité d’exécution. Elle tente toutefois de minimiser ses relations avec H. et fournit des explications sur l’arrière-plan des transactions mises en exergue par le MPC. Ces explications ne peuvent cependant pas être prises en considération. En effet, elles constituent une argumentation à dé- charge, irrecevable dans le cadre de la procédure d’entraide (ATF 132 II 81 consid. 2.1 p. 85 et les arrêts cités). Il n’appartient pas à la Cour de céans, dans le cadre de la procédure d’entraide, de se substituer au juge du fond de l’Etat requérant. Enfin, la recourante ne soutient pas que la documenta- tion bancaire serait impropre à faire progresser l’enquête au Brésil, violant de ce fait le principe de la proportionnalité.</w:t>
      </w:r>
    </w:p>
    <w:p>
      <w:r>
        <w:t>La recourante explique que la remise de la documentation bancaire aurait pour conséquence de révéler l’identité de ses ayants droit et actionnaires, ce qui ne serait pas admissible. Au regard toutefois de la jurisprudence du Tribunal fédéral, la recourante n’est pas recevable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directement touché par une mesure d’entraide judiciaire et a un intérêt digne de protec- tion à ce qu’elle soit annulée ou modifiée. Le recours formé dans le seul in- térêt de la loi ou d’un tiers est irrecevable à la lumière de cette disposition (ATF 128 II 211 consid. 2.3; arrêt du Tribunal fédéral 1A.173/2006 du 30 août 2007, consid. 2.3; TPF RR.2007.32 du 24 avril 2007, consid. 2).</w:t>
      </w:r>
    </w:p>
    <w:p>
      <w:r>
        <w:rPr>
          <w:b/>
        </w:rPr>
        <w:t>E. 4</w:t>
      </w:r>
    </w:p>
    <w:p>
      <w:r>
        <w:t>La recourante soutient ensuite que la demande d’entraide ne serait pas suffisamment motivée. Des comportements délictueux sont reprochés à B., mais l’implication de ce dernier ne reposerait sur aucun élément précis. La demande n’indiquerait ni les lieux, ni les dates, ni les modes de commis- sion des infractions. Faute de fournir les preuves de la culpabilité du préci- té, la demande d’entraide serait lacunaire et abusive. La recourante estime par ailleurs que la requête revêt un caractère fiscal et que, partant, les exi-</w:t>
      </w:r>
    </w:p>
    <w:p>
      <w:r>
        <w:t>- 7 -</w:t>
      </w:r>
    </w:p>
    <w:p>
      <w:r>
        <w:t>gences spécifiques de la jurisprudence en cette matière doivent être res- pectées.</w:t>
      </w:r>
    </w:p>
    <w:p>
      <w:r>
        <w:t>Les conditions de forme auxquelles doit répondre une demande d’entraide judiciaire sont énumérées à l’art. 28 al. 2 EIMP. Cette disposition prévoit que la demande d’entraide indique l’organe dont elle émane et, le cas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 le mode de commission de l’infraction. On ne saurait toutefois être trop exi-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 déral 1A.205/2001 du 21 mars 2002, consid. 2.1).</w:t>
      </w:r>
    </w:p>
    <w:p>
      <w:r>
        <w:t>La demande d’entraide judiciaire expose sur plusieurs pages et dans le dé- 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I. et J.. Ces indications, qui mentionnent la période durant laquelle ont eu lieu les ventes aux enchères illicites ainsi que, dans les grandes lignes, la manière de procéder de l’organisation cri- minelle, sont manifestement suffisantes au regard des art. 28 EIMP et 10 OEIMP. Elles correspondent du reste aux informations déjà en possession de l’autorité requise. S’agissant de B. en particulier, son rôle dans le dérou- lement des enchères frauduleuses et dans le processus de blanchiment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opérations suspectes, c’est manifestement qu’elle ne dispose pas de renseignements suffisants à ce sujet, raison pour laquelle elle sollicite l’entraide judiciaire. Pour le sur- plus, contrairement à ce que semble soutenir la recourante, les art. 28</w:t>
      </w:r>
    </w:p>
    <w:p>
      <w:r>
        <w:t>- 8 -</w:t>
      </w:r>
    </w:p>
    <w:p>
      <w:r>
        <w:t>EIMP et 10 OEIMP imposent simplement à l’autorité requérante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ceci quand bien même elle disposerait des preuves idoines.</w:t>
      </w:r>
    </w:p>
    <w:p>
      <w:r>
        <w:t>La procédure à l’étranger comporte un aspect fiscal (escroquerie fiscale, omission d’informer le fisc et exportation de capitaux). A la lecture du chif- fre 3 du dispositif de la décision du 12 juillet 2007, on constate que les documents et renseignements transmis peuvent être utilisés pour la pour- suite d’une escroquerie fiscale. Or un tel usage suppose que l’autorité re- quise ait vérifié la satisfaction des exigences spécifiques de la jurispru- dence (ATF 125 II 250 consid. 5b; 116 Ib 96 consid. 4b), ce que le Tribu- nal pénal fédéral peut librement vérifier dans le cadre du présent recours (cf. consid. 1.1).</w:t>
      </w:r>
    </w:p>
    <w:p>
      <w:r>
        <w:t>Sous l’angle de la double incrimination, il convient d’examiner uniquement si les faits décrits dans la demande seraient réprimés en Suisse comme une escroquerie fiscale au sens que donne le droit suisse à ce délit (ATF 115 Ib 68 consid. 3c p 81/82). Pour interpréter la notion d’escroquerie fiscale au sens de l’art. 3 al. 3 EIMP, il faut se référer à l’art. 14 al. 2 DPA (applicable par renvoi de l’art. H24H al. 1 OEIMP). Par es- croquerie fiscale, on entend tout comportement astucieux par lequel l’auteur garde par devers lui une contribution ou une part de contribution due à l’Etat, ainsi que tout comportement astucieux par lequel l’auteur porte atteinte au patrimoine fiscal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de détournement des normes excluant l’entraide en matière éco- nomique et fiscale (ROBERT ZIMMERMANN, La coopération judiciaire inter- nationale en matière pénale, 2Pe P éd., Berne 2004, p. 173, note 519). L’Etat requérant n’a pas à joindre nécessairement les moyens de preuve à la demande. Il suffit que celle-ci désigne ces moyens de preuve et en rende vraisemblable l’existence (v. ég. arrêt non publié du 13 octobre 1995 dans la cause I., consid. 2d, cité par ZIMMERMANN, op. cit., p. 451, note 607).</w:t>
      </w:r>
    </w:p>
    <w:p>
      <w:r>
        <w:t>- 9 -</w:t>
      </w:r>
    </w:p>
    <w:p>
      <w:r>
        <w:t>En l’espèce, l’autorité requérante expose de manière détaillée le mode opératoire utilisé par les prévenus, lesquels agissaient à travers un grand nombre de personnes physiques et morales. La requête d’entraide expli- cite les comportements qu’ils ont adopté, ceci en se référant par ailleurs aux preuves recueillies au cours de l’enquête au Brésil. Les mécanismes utilisés de manière systématique, intensive et planifiée – intervention de nombreuses sociétés au Brésil et à l’étranger (off-shore), dissolution ra- pide des structures et réapparition sous une autre forme, utilisation de comptes bancaires extraterritoriaux, transferts de parts sociales et aug- mentations de capital, etc. – étaient avant tout au service du système de corruption en vigueur, mais pourraient avoir également eu pour objectif de réduire le montant des impôts dus. En droit suisse, ces agissements, dont l’intensité a été suffisamment démontrée par l’Etat re- quérant, représentent des machinations frauduleuses destinées à trom- per. Partant, ils sont constitutifs d’escroquerie fiscale.</w:t>
      </w:r>
    </w:p>
    <w:p>
      <w:r>
        <w:rPr>
          <w:b/>
        </w:rPr>
        <w:t>E. 5</w:t>
      </w:r>
    </w:p>
    <w:p>
      <w:r>
        <w:t>Selon l’art. 28 al. 5 EIMP, les demandes et leurs annexes doivent être pré- sentées dans l’une des trois langues officielles de la Suisse, ou accompa- gnées d’une traduction dans une de ces trois langues. Les traductions doi- 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L’existence d’une certification conforme étant une prescription d’ordre (TPF RR.2007.59 du 26 juillet 2007, consid. 2.2.2), son absence ne constitue pas un vice grave entraînant l’irrecevabilité de la requête (arrêt du Tribunal fédéral 1A.240/1999 du 17 mars 2000, consid. 2b). Selon la jurisprudence, la coo- pération n’est refusée que si l’absence de traduction empêche l’autorité de traiter correctement la demande, porte atteinte aux droits de la personne poursuivie ou participe d’un comportement abusif de la part de l’Etat requé- rant (arrêt du Tribunal fédéral 1A.56/2000 du 17 avril 2000, consid. 2b). Tout au plus l’autorité pourra être invitée à remédier à ce vice dans un délai déterminé, conformément à l’art. 28 al. 6 EIMP. Il ne pourrait en aller au- trement que dans le cas particulier où la traduction serait rédigée dans des termes ambigus, ou lorsque sa fidélité au texte original apparaîtrait dou- teuse sur des points essentiels (arrêt du Tribunal fédéral 1A.337/2005 du 20 février 2006, consid. 5.2).</w:t>
      </w:r>
    </w:p>
    <w:p>
      <w:r>
        <w:t>- 10 -</w:t>
      </w:r>
    </w:p>
    <w:p>
      <w:r>
        <w:t>Sans motiver cette appréciation, la recourante considère que la traduction de la demande et de son complément serait de mauvaise qualité. La de- mande d’entraide judiciaire aurait déjà dû être refusée pour ce motif.</w:t>
      </w:r>
    </w:p>
    <w:p>
      <w:r>
        <w:t>Il est exact que ni la demande, ni son complément ne sont accompagnés d’une traduction certifiée conforme. A la lumière de la jurisprudence rappe- lée ci-dessus, il n’y a cependant pas lieu d’y voir, comme le voudrait la re- courante, un motif de refus de l’entraide. Même sans certification de sa tra- duction, la commission rogatoire a pu être exécutée. La recourante n’allègue pas s’être trouvée entravée dans ses droits de défense, pas plus qu’elle n’explique sur quels points en particulier la traduction serait ambi- guë. Sur cette dernière question, d’éventuels doutes pourraient le cas échéant être levés grâce aux textes originaux en langue portugaise fournis par l’autorité requérante. Ainsi, le refus de l’entraide pour le seul motif de l’absence de certification conforme n’apparaît pas justifié par un intérêt légi- time. Une exception aux exigences formelles de l’art. 28 al. 5 EIMP s’impose aussi au regard du principe de la célérité de la procédure (art. 17a al. 1 EIMP).</w:t>
      </w:r>
    </w:p>
    <w:p>
      <w:r>
        <w:rPr>
          <w:b/>
        </w:rPr>
        <w:t>E. 6</w:t>
      </w:r>
    </w:p>
    <w:p>
      <w:r>
        <w:t>La recourante fait valoir que les autorités brésiliennes pourraient ne pas respecter le principe de la spécialité. Elle produit un article paru dans la presse suisse concernant une affaire dans laquelle les autorités alleman- des n’avaient pas respecté ce principe. La société recourante, établisse- ment ayant son siège au Panama, ne prétend toutefois pas qu’elle-même ou ses ayants droit feraient ou seraient susceptibles de faire l’objet d’une procédure à caractère fiscal au Brésil. Les craintes de la recourante relè- vent bien davantage du procès d’intention et rien ne permet de douter que la réserve de la spécialité, dont est assortie la transmission des documents à l’Etat requérant, sera respectée par celui-ci.</w:t>
      </w:r>
    </w:p>
    <w:p>
      <w:r>
        <w:rPr>
          <w:b/>
        </w:rPr>
        <w:t>E. 7</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w:t>
      </w:r>
    </w:p>
    <w:p>
      <w:r>
        <w:t>- 11 -</w:t>
      </w:r>
    </w:p>
    <w:p>
      <w:r>
        <w:t>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(1Pre P phr.). En l’occurrence, la recourante ayant suc- combé, les frais sont mis à sa charge à hauteur de Fr. 5000.--, montant en- tièrement couvert par l’avance de frais.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