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RR.2007.107 vom 12. Juli 2007</w:t>
      </w:r>
    </w:p>
    <w:p>
      <w:r>
        <w:t>Bundesstrafgericht, 2007-07-12, FR</w:t>
      </w:r>
    </w:p>
    <w:p>
      <w:r>
        <w:rPr>
          <w:b/>
        </w:rPr>
        <w:t xml:space="preserve">Quelle: </w:t>
      </w:r>
      <w:r>
        <w:t>https://mcp.opencaselaw.ch/entscheid/bstger_RR.2007.107</w:t>
      </w:r>
    </w:p>
    <w:p>
      <w:r>
        <w:t>FR: TPF RR.2007.107 du 12 juillet 2007</w:t>
      </w:r>
    </w:p>
    <w:p>
      <w:r>
        <w:t>IT: TPF RR.2007.107 del 12 luglio 2007</w:t>
      </w:r>
    </w:p>
    <w:p>
      <w:pPr>
        <w:pStyle w:val="Heading2"/>
      </w:pPr>
      <w:r>
        <w:t>Regeste</w:t>
      </w:r>
    </w:p>
    <w:p>
      <w:r>
        <w:t>Transmission de moyens de preuves (art. 74 EIMP) Exécution simplifiée (art. 80c al. 1 EIMP)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avril 2007, après les avoir relus;</w:t>
      </w:r>
    </w:p>
    <w:p>
      <w:r>
        <w:t>qu’elle ne prétend pas avoir été faussement renseignée sur la portée de ses dé- clarations;</w:t>
      </w:r>
    </w:p>
    <w:p>
      <w:r>
        <w:t>que la décision d’entrée en matière prononcée par le juge d’instruction le 15 fé- vrier 2007, notifiée à la recourante le 18 avril 2007, précise au surplus que les autorités étrangères ne sauraient obtenir séance tenante la remise – même sous forme de copie – des documents relatifs à l’enquête, lesquels sont acheminés à l’autorité requérante à l’échéance du délai de recours contre la décision de clô-</w:t>
      </w:r>
    </w:p>
    <w:p>
      <w:r>
        <w:t>- 4 -</w:t>
      </w:r>
    </w:p>
    <w:p>
      <w:r>
        <w:t>ture, sous réserve du consentement du/des ayants droit au sens de l’art. 80c EIMP;</w:t>
      </w:r>
    </w:p>
    <w:p>
      <w:r>
        <w:t>que la recourante était ainsi informée de la portée de l’accord qu’elle donnait;</w:t>
      </w:r>
    </w:p>
    <w:p>
      <w:r>
        <w:t>qu’en l’absence de toute raison de penser que le juge, ou quelque autre autorité, aurait pu induire la recourante en erreur ou même y contribuer, il faut donc consi- dérer que, si erreur il y a eu, la recourante ne peut s’en prévaloir;</w:t>
      </w:r>
    </w:p>
    <w:p>
      <w:r>
        <w:t>que le recours doit par conséquent être rejeté;</w:t>
      </w:r>
    </w:p>
    <w:p>
      <w:r>
        <w:t>que la recourante ne saurait être mise au bénéfice de l’assistance judiciaire, au motif que ses conclusions étaient d’emblée vouées à l’échec (art. 65 al. 1 PA, applicable par renvoi de l’art. 30 let. b LTPF);</w:t>
      </w:r>
    </w:p>
    <w:p>
      <w:r>
        <w:t>que, dès lors, il n’y a pas lieu de nommer un avocat d’office (art. 65 al. 2 PA);</w:t>
      </w:r>
    </w:p>
    <w:p>
      <w:r>
        <w:t>que les frais de procédure sont mis à la charge de la partie qui succombe (art. 63 al. 1 PA);</w:t>
      </w:r>
    </w:p>
    <w:p>
      <w:r>
        <w:t>que l’émolument judiciaire calculé conformément à l’art. 3 du Règlement du 11 février 2004 fixant les émoluments judiciaires perçus par le Tribunal pénal fédéral (RS 173.711.32) est fixé en l’espèce à Fr. 500.--.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