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RR.2007.101 vom 12. Juli 2007</w:t>
      </w:r>
    </w:p>
    <w:p>
      <w:r>
        <w:t>Bundesstrafgericht, 2007-07-12, FR</w:t>
      </w:r>
    </w:p>
    <w:p>
      <w:r>
        <w:rPr>
          <w:b/>
        </w:rPr>
        <w:t xml:space="preserve">Quelle: </w:t>
      </w:r>
      <w:r>
        <w:t>https://mcp.opencaselaw.ch/entscheid/bstger_RR.2007.101</w:t>
      </w:r>
    </w:p>
    <w:p>
      <w:r>
        <w:t>FR: TPF RR.2007.101 du 12 juillet 2007</w:t>
      </w:r>
    </w:p>
    <w:p>
      <w:r>
        <w:t>IT: TPF RR.2007.101 del 12 luglio 2007</w:t>
      </w:r>
    </w:p>
    <w:p>
      <w:pPr>
        <w:pStyle w:val="Heading2"/>
      </w:pPr>
      <w:r>
        <w:t>Regeste</w:t>
      </w:r>
    </w:p>
    <w:p>
      <w:r>
        <w:t>Entraide internationale en matière pénale au Royaume-Uni Décision de clôture partielle en exécution simplifiée (art. 80c EIMP)</w:t>
      </w:r>
    </w:p>
    <w:p>
      <w:pPr>
        <w:pStyle w:val="Heading2"/>
      </w:pPr>
      <w:r>
        <w:t>Erwägungen</w:t>
      </w:r>
    </w:p>
    <w:p>
      <w:r>
        <w:rPr>
          <w:b/>
        </w:rPr>
        <w:t>E. 1</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Suisse et le Royaume-Uni. L’EIMP et son ordonnance d’exécution (OEIMP; RS 351.11), restent applicables aux questions qui ne sont pas réglées, ex- plicitement ou implicitement, par les dispositions conventionnelles, ainsi que lorsqu'elles permettent l’octroi de l’entraide à des conditions plus favo- rables (ATF 130 II 337 consid. 1; 124 II 180 consid. 1a).</w:t>
      </w:r>
    </w:p>
    <w:p>
      <w:r>
        <w:rPr>
          <w:b/>
        </w:rPr>
        <w:t>E. 2</w:t>
      </w:r>
    </w:p>
    <w:p>
      <w:r>
        <w:t>Par analogie avec la pratique du Tribunal fédéral, le Tribunal pénal fédéral examine d’office et librement la recevabilité des recours qui lui sont soumis (ATF 132 I 140 consid. 1.1; 132 III 291 consid. 1; 131 II 571 consid. 1).</w:t>
      </w:r>
    </w:p>
    <w:p>
      <w:r>
        <w:rPr>
          <w:b/>
        </w:rPr>
        <w:t>E. 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OIMP, est no- tamment réputé personnellement et directement touché au sens de ces dispositions le titulaire d'un compte bancaire dont les pièces sont saisies</w:t>
      </w:r>
    </w:p>
    <w:p>
      <w:r>
        <w:t>- 4 -</w:t>
      </w:r>
    </w:p>
    <w:p>
      <w:r>
        <w:t>(let. a), le propriétaire ou le locataire qui doit se soumettre personnellement à une perquisition ou à une saisie (let. b; ATF 118 Ib 442 consid. 2c – con- cernant la saisie de documents en main d'une banque –; ATF 121 II 38 – concernant la remise du dossier d'une procédure civile à laquelle l'intéressé est partie –) et le détenteur en cas de mesures concernant un véhicule à moteur (let. c). La jurisprudence constante dénie en revanche cette qualité au détenteur économique d'un compte bancaire visé par la demande, ou à l'auteur de documents saisis en main d'un tiers (ATF 116 Ib 106 consid. 2a), même si la transmission des renseignements requis entraîne la révélation de son identité (ATF 115 Ib 156 consid. 2a et les arrêts cités), ainsi qu'au témoin, dans la mesure où il n'est pas amené à fournir des in- formations sur sa propre personne (ATF 126 II 258 consid. 2d/bb p. 261; pour un résumé de la jurisprudence relative à la qualité pour recourir, cf. ATF 122 II 130). Dans l'ATF 128 II 211 consid. 2.2 p. 216-217, le Tribunal fédéral a jugé que l'établissement bancaire n'a pas qualité pour recourir contre la transmission de documents relatifs à un compte détenu par un client, dans la mesure où ces documents ne contiennent rien sur la gestion des propres affaires de la banque. Plus récemment, la Haute Cour fédérale a précisé que le cas des avocats et des fiduciaires devait en principe être réglé différemment de ce- lui des banques. Ces dernières mettent en effet à disposition de leurs clients certaines prestations liées à l'ouverture et à l'utilisation de comptes, sans forcément intervenir activement dans la gestion de ces derniers; en revanche, lorsque des avocats ou des fiduciaires détiennent des docu- ments bancaires, ils le font généralement en raison d'un mandat qui les lie à leur client, pour lequel ils déploient une activité propre; par conséquent, si la jurisprudence présume généralement que les documents saisis auprès d'une banque ne concernent pas sa propre gestion, il faut partir de la pré- misse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 torité d'exécution au moment de notifier ses décisions (arrêt du Tribunal fé- déral 1A.293/2004 du 18 mars 2005, consid. 2.3).</w:t>
      </w:r>
    </w:p>
    <w:p>
      <w:r>
        <w:rPr>
          <w:b/>
        </w:rPr>
        <w:t>E. 2.2</w:t>
      </w:r>
    </w:p>
    <w:p>
      <w:r>
        <w:t>En l’espèce, rien ne justifie de s’écarter des principes dégagés par la juris- prudence constante, selon laquelle la personne concernée par des docu- ments saisis en mains tierces n'a pas qualité pour agir, quand bien même ces documents contiennent des informations à son sujet (ATF 130 II 162 consid. 1.1 p. 164 et la jurisprudence citée). En sa qualité de mandante de</w:t>
      </w:r>
    </w:p>
    <w:p>
      <w:r>
        <w:t>- 5 -</w:t>
      </w:r>
    </w:p>
    <w:p>
      <w:r>
        <w:t>la société fiduciaire saisie, A. Ltd n’est par conséquent pas habilitée à re- courir. Le recours doit donc être déclaré irrecevable, sans qu’il y ait lieu d’examiner l’argumentation soulevée au fond.</w:t>
      </w:r>
    </w:p>
    <w:p>
      <w:r>
        <w:rPr>
          <w:b/>
        </w:rPr>
        <w:t>E. 3</w:t>
      </w:r>
    </w:p>
    <w:p>
      <w:r>
        <w:t>Le recours étant d’emblée infondé, la Cour de céans a renoncé à procéder à un échange d’écriture (art. 57 al. 1 PA a contrario, applicable par renvoi de l’art. 30 let. b LTPF).</w:t>
      </w:r>
    </w:p>
    <w:p>
      <w:r>
        <w:rPr>
          <w:b/>
        </w:rPr>
        <w:t>E. 4</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5'000.--,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