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RP.2018.50 vom 7. November 2018</w:t>
      </w:r>
    </w:p>
    <w:p>
      <w:r>
        <w:t>Bundesstrafgericht, 2018-11-07, FR</w:t>
      </w:r>
    </w:p>
    <w:p>
      <w:r>
        <w:rPr>
          <w:b/>
        </w:rPr>
        <w:t xml:space="preserve">Quelle: </w:t>
      </w:r>
      <w:r>
        <w:t>https://mcp.opencaselaw.ch/entscheid/bstger_RP.2018.50</w:t>
      </w:r>
    </w:p>
    <w:p>
      <w:r>
        <w:t>FR: TPF RP.2018.50 du 7 novembre 2018</w:t>
      </w:r>
    </w:p>
    <w:p>
      <w:r>
        <w:t>IT: TPF RP.2018.50 del 7 novembre 2018</w:t>
      </w:r>
    </w:p>
    <w:p>
      <w:pPr>
        <w:pStyle w:val="Heading2"/>
      </w:pPr>
      <w:r>
        <w:t>Regeste</w:t>
      </w:r>
    </w:p>
    <w:p>
      <w:r>
        <w:t>Effet suspensif (art. 80l EIMP).</w:t>
      </w:r>
    </w:p>
    <w:p>
      <w:pPr>
        <w:pStyle w:val="Heading2"/>
      </w:pPr>
      <w:r>
        <w:t>Erwägungen</w:t>
      </w:r>
    </w:p>
    <w:p>
      <w:r>
        <w:rPr>
          <w:b/>
        </w:rPr>
        <w:t>E. 1</w:t>
      </w:r>
    </w:p>
    <w:p>
      <w:r>
        <w:t>Le 12 mai 2004, la République fédérative du Brésil et la Confédération suisse ont conclu un traité d’entraide judiciaire en matière pénale (RS 0.351.919.81; ci-après: le traité), entré en vigueur le 27 juillet 2009. Les dispositions de celui-ci l’emportent sur le droit autonome qui régit la matière, soit l’EIMP et son ordonnance d’exécution du 24 février 1982 (OIEMP; RS 351.11). Le droit interne reste toutefois applicable aux questions non réglées, explicitement ou implicitement, par le traité lorsqu’il est plus favorable à l’entraide (ATF 142 IV 250 consid. 3; 140 IV 123 consid. 2; 137 IV 33 consid. 2.2.2). L’application de la norme la plus favorable doit avoir lieu dans le res- pect des droits fondamentaux (ATF 135 IV 212 consid. 2.3; 123 II 595 consid. 7c).</w:t>
      </w:r>
    </w:p>
    <w:p>
      <w:r>
        <w:t>- 4 -</w:t>
      </w:r>
    </w:p>
    <w:p>
      <w:r>
        <w:rPr>
          <w:b/>
        </w:rPr>
        <w:t>E. 2.1</w:t>
      </w:r>
    </w:p>
    <w:p>
      <w:r>
        <w:t>l'OFJ a qualité pour agir contre les décisions rendues par les autorités d'exécution en matière d'entraide judiciaire internationale en matière pénale (art. 8, en lien avec les art. 80e et 80h let. a EIMP).</w:t>
      </w:r>
    </w:p>
    <w:p>
      <w:r>
        <w:rPr>
          <w:b/>
        </w:rPr>
        <w:t>E. 2.2</w:t>
      </w:r>
    </w:p>
    <w:p>
      <w:r>
        <w:t>En tant que la décision entreprise précède une éventuelle décision de clôture portant sur la remise de valeurs en vue de confiscation ou de restitution à l'ayant droit, au sens de l'art. 74a EIMP, elle est de nature incidente.</w:t>
      </w:r>
    </w:p>
    <w:p>
      <w:r>
        <w:rPr>
          <w:b/>
        </w:rPr>
        <w:t>E. 2.3</w:t>
      </w:r>
    </w:p>
    <w:p>
      <w:r>
        <w:t>Aux termes de l'alinéa 1 de l'art. 80e EIMP (recours contre les décisions des autori- tés d'exécution), peuvent faire l'objet d'un recours devant la cour des plaintes du Tribunal pénal fédéral, la décision de l'autorité cantonale ou fédérale d'exécution relative à la clôture de la procédure d'entraide et, conjointement, les décisions inci- dentes. L'alinéa 2, let. a, de cette disposition précise que les décisions incidentes antérieures à la décision de clôture peuvent faire l'objet d'un recours séparé si elles causent un préjudice immédiat et irréparable en raison de la saisie d'objets ou de valeurs.</w:t>
      </w:r>
    </w:p>
    <w:p>
      <w:r>
        <w:rPr>
          <w:b/>
        </w:rPr>
        <w:t>E. 2.4</w:t>
      </w:r>
    </w:p>
    <w:p>
      <w:r>
        <w:t>Le Tribunal fédéral, dans un arrêt du 14 mars 2001 (1A.12/2001, consid. 2), s'est demandé si l'existence d'un préjudice immédiat et irréparable doit aussi être remplie lorsque l'OFJ, en tant qu'autorité de surveillance, attaque une décision incidente rendue, en matière d'entraide internationale, par une autorité d'exécution cantonale. Se fondant sur le droit cantonal, respectivement sur les liens qui prévalaient entre celui-ci et l'EIMP, il a néanmoins laissé la question ouverte (consid. 3 s.), après avoir constaté qu'en l'occurrence, la décision incidente querellée maintenait provisoire- ment (en application de l'art. 80e let. b, ch. 1, aEIMP) le gel des avoirs litigieux – considérations dénuées de pertinence dans la présente espèce, dès lors que l'ordonnance du 1er octobre 2018 a été rendue par une autorité fédérale et que l'acte en cause lève le blocage des avoirs déposés sur les comptes concernés.</w:t>
      </w:r>
    </w:p>
    <w:p>
      <w:r>
        <w:t>Cela étant, la haute Cour a relevé que dans le droit de l'entraide, les restrictions posées par le législateur en matière de recours contre une décision incidente trou- vaient leur justification dans l'obligation de célérité (ancrée à l'art. 17a EIMP), res- pectivement dans la nécessité de limiter les abus auxquels peuvent conduire des recours formés par des particuliers; elle a retenu que cette problématique ne se posait pas lorsque le recours émanait de l'autorité de surveillance compétente (ibi- dem, consid. 3b) bb)). Ces considérations s'appliquent pleinement au cas d'espèce et conduisent à déclarer le recours recevable en dépit du fait que l'OFJ n'établit pas l'existence d'un préjudice immédiat et irréparable. En outre, on peine à imaginer des situations dans lesquelles dit Office pourrait se prévaloir avec succès d'un préjudice propre lorsqu'il agit dans l'exercice de son activité d'autorité de surveillance – soit</w:t>
      </w:r>
    </w:p>
    <w:p>
      <w:r>
        <w:t>- 5 -</w:t>
      </w:r>
    </w:p>
    <w:p>
      <w:r>
        <w:t>dans l'intérêt, général, du respect des normes ou principes juridiques topiques; par- tant, appliquer à cette Autorité les réquisits de l'art. 80e al. 2 let. a EIMP en pareille hypothèse reviendrait en pratique à l'empêcher d'exercer contre une décision inci- dente la voie de recours instituée par les art. 80e et 80h let. a EIMP; or une telle limitation ne se conçoit pas.</w:t>
      </w:r>
    </w:p>
    <w:p>
      <w:r>
        <w:rPr>
          <w:b/>
        </w:rPr>
        <w:t>E. 2.5</w:t>
      </w:r>
    </w:p>
    <w:p>
      <w:r>
        <w:t>Au vu de ce qui précède, il y a lieu d'entrer en matière – et, partant, de se pencher sur la demande d'octroi de l'effet suspensif formée par le recourant –, étant précisé que le mémoire du 5 octobre 2018 a été déposé dans le délai de dix jours institué par l'art. 80k EIMP pour attaquer une décision incidente.</w:t>
      </w:r>
    </w:p>
    <w:p>
      <w:r>
        <w:rPr>
          <w:b/>
        </w:rPr>
        <w:t>E. 3</w:t>
      </w:r>
    </w:p>
    <w:p>
      <w:r>
        <w:t>En l'espèce, si l'effet suspensif au recours n'était pas octroyé, les titulaires des rela- tions abritant les fonds litigieux pourraient sur-le-champ disposer de ceux-ci, singu- lièrement les transférer hors de Suisse; dans ce cas, la remise à l'Etat requérant à des fins de confiscation ou de restitution à l'ayant droit, prévue par l'art. 74a EIMP serait impossible. En revanche, l'octroi de l'effet suspensif au recours ne préjuge en rien de la décision qui sera rendue le cas échéant sur une telle remise. La pesée des intérêts en présence commande donc que soit octroyé l'effet suspensif au re- cours. Le seul argument développé par les parties adverses à l'encontre de celui-ci consiste à prétendre que cette mesure est superflue, dès lors que les fonds litigieux sont toujours bloqués en vertu du séquestre prononcé dans le cadre de la procédure pénale suisse. Il tombe à faux, dès lors que le classement de cette dernière – qui peut intervenir à tout moment – entraînerait automatiquement la levée immédiate de ladite mesure de contrainte.</w:t>
      </w:r>
    </w:p>
    <w:p>
      <w:r>
        <w:rPr>
          <w:b/>
        </w:rPr>
        <w:t>E. 4</w:t>
      </w:r>
    </w:p>
    <w:p>
      <w:r>
        <w:t>Les considérations qui précèdent conduisent à l'admission de la demande d'octroi de l'effet suspensif formée par l'OFJ, sans qu'il y ait lieu d'examiner la question – développée par les parties adverses dans leurs observations sur l'effet suspensif du 18 octobre 2018 (cause RP.2018.50, act. 4) – de savoir si C. a qualité pour agir dans les procédures RR.2018.250-252 et RR.2018.287.</w:t>
      </w:r>
    </w:p>
    <w:p>
      <w:r>
        <w:rPr>
          <w:b/>
        </w:rPr>
        <w:t>E. 5</w:t>
      </w:r>
    </w:p>
    <w:p>
      <w:r>
        <w:t>Les frais de la présente ordonnance suivent ceux de la cause au fond.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