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RP.2013.65 vom 24. Januar 2014</w:t>
      </w:r>
    </w:p>
    <w:p>
      <w:r>
        <w:t>Bundesstrafgericht, 2014-01-24, DE</w:t>
      </w:r>
    </w:p>
    <w:p>
      <w:r>
        <w:rPr>
          <w:b/>
        </w:rPr>
        <w:t xml:space="preserve">Quelle: </w:t>
      </w:r>
      <w:r>
        <w:t>https://mcp.opencaselaw.ch/entscheid/bstger_RP.2013.65</w:t>
      </w:r>
    </w:p>
    <w:p>
      <w:r>
        <w:t>FR: TPF RP.2013.65 du 24 janvier 2014</w:t>
      </w:r>
    </w:p>
    <w:p>
      <w:r>
        <w:t>IT: TPF RP.2013.65 del 24 gennaio 2014</w:t>
      </w:r>
    </w:p>
    <w:p>
      <w:pPr>
        <w:pStyle w:val="Heading2"/>
      </w:pPr>
      <w:r>
        <w:t>Regeste</w:t>
      </w:r>
    </w:p>
    <w:p>
      <w:r>
        <w:t>Unentgeltliche Rechtspflege (Art. 65 VwVG).</w:t>
      </w:r>
    </w:p>
    <w:p>
      <w:pPr>
        <w:pStyle w:val="Heading2"/>
      </w:pPr>
      <w:r>
        <w:t>Erwägungen</w:t>
      </w:r>
    </w:p>
    <w:p>
      <w:r>
        <w:rPr>
          <w:b/>
        </w:rPr>
        <w:t>E. 2</w:t>
      </w:r>
    </w:p>
    <w:p>
      <w:r>
        <w:t>VwVG i.V.m. Art. 39 Abs. 2 lit. b StBOG);</w:t>
      </w:r>
    </w:p>
    <w:p>
      <w:r>
        <w:t>- es grundsätzlich dem Gesuchsteller obliegt, seine Einkommens- und Ver- mögensverhältnisse umfassend darzulegen und soweit als möglich zu be- legen, wobei die Belege über sämtliche finanziellen Verpflichtungen des Gesuchstellers sowie über seine Einkommens- und Vermögensverhältnisse Aufschluss zu geben haben; ein Gesuch mangels ausreichender Substanti- ierung oder mangels Bedürftigkeitsnachweises abgewiesen werden kann, wenn der Gesuchsteller dieser umfassenden Pflicht zur Offenlegung seiner finanziellen Situation nicht nachkommt bzw. die vorgelegten Urkunden und die gemachten Angaben kein kohärentes und widerspruchsfreies Bild sei- ner finanziellen Verhältnisse ergeben (Entscheid des Bundesstrafgerichts BH.2006.6 vom 18. April 2006, E. 6.1 m.w.H.);</w:t>
      </w:r>
    </w:p>
    <w:p>
      <w:r>
        <w:t>- der Gesuchsteller zur Begründung seines Antrags auf unentgeltliche Rechtspflege ausführt, sein gesamtes Vermögen sei von den Strafverfol- gungsbehörden Italiens und der Schweiz beschlagnahmt worden; er in an- deren Ländern über keine Vermögenswerte verfüge, in der Haft in Italien keinerlei Einkommen erziele, jedoch erhebliche Schulden habe; er im Übri- gen seit seiner Verhaftung von seiner Ehefrau getrennt lebe und dies wohl auch nach einer allfälligen Haftentlassung der Fall sein werde (act. 6 S. 2 f.);</w:t>
      </w:r>
    </w:p>
    <w:p>
      <w:r>
        <w:t>- 4 -</w:t>
      </w:r>
    </w:p>
    <w:p>
      <w:r>
        <w:t>- das Formular betreffend unentgeltliche Rechtspflege weitgehend unausge- füllt blieb; insbesondere keine Angaben zum Umfang der geltend gemach- ten Schulden des Gesuchstellers vorliegen (act. 6.2);</w:t>
      </w:r>
    </w:p>
    <w:p>
      <w:r>
        <w:t>- über die finanziellen Verhältnisse des Gesuchstellers auch keine Unterla- gen eingereicht worden sind, obschon im Formular betreffend unentgeltli- che Rechtspflege angedroht wurde, dass unvollständig ausgefüllte oder nicht mit den erforderlichen Beilagen versehene Gesuche ohne Weiteres abgewiesen werden können;</w:t>
      </w:r>
    </w:p>
    <w:p>
      <w:r>
        <w:t>- die fehlende Liquidität des Gesuchstellers demnach zwar behauptet, aber nicht rechtsgenüglich dargetan ist, weshalb der Antrag auf unentgeltliche Rechtspflege mangels genügender Substantiierung abzuweisen ist;</w:t>
      </w:r>
    </w:p>
    <w:p>
      <w:r>
        <w:t>- dem Gesuchsteller damit eine Frist bis zum 6. Februar 2014 zur Leistung des Kostenvorschusses von Fr. 4'000.-- anzusetzen ist, ansonsten auf die Beschwerde nicht eingetreten wird (Art. 63 Abs. 4 VwVG);</w:t>
      </w:r>
    </w:p>
    <w:p>
      <w:r>
        <w:t>- die Zahlung in bar, durch ungekreuzten Bankcheck oder durch Überwei- sung auf das Postkonto 30-756623-9 (IBAN CH46 0900 0000 3075 6623 9) der Bundesstrafgerichtskasse erfolgen kann;</w:t>
      </w:r>
    </w:p>
    <w:p>
      <w:r>
        <w:t>- die Kosten dieses Entscheides bei der Hauptsache verbleiben.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