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RP.2013.20 vom 21. Mai 2013</w:t>
      </w:r>
    </w:p>
    <w:p>
      <w:r>
        <w:t>Bundesstrafgericht, 2013-05-21, FR</w:t>
      </w:r>
    </w:p>
    <w:p>
      <w:r>
        <w:rPr>
          <w:b/>
        </w:rPr>
        <w:t xml:space="preserve">Quelle: </w:t>
      </w:r>
      <w:r>
        <w:t>https://mcp.opencaselaw.ch/entscheid/bstger_RP.2013.20</w:t>
      </w:r>
    </w:p>
    <w:p>
      <w:r>
        <w:t>FR: TPF RP.2013.20 du 21 mai 2013</w:t>
      </w:r>
    </w:p>
    <w:p>
      <w:r>
        <w:t>IT: TPF RP.2013.20 del 21 maggio 2013</w:t>
      </w:r>
    </w:p>
    <w:p>
      <w:pPr>
        <w:pStyle w:val="Heading2"/>
      </w:pPr>
      <w:r>
        <w:t>Regeste</w:t>
      </w:r>
    </w:p>
    <w:p>
      <w:r>
        <w:t>Entraide judiciaire internationale en matière pénale au Portugal. Requête en suspension de la procédure RR.2012.273-274.</w:t>
      </w:r>
    </w:p>
    <w:p>
      <w:pPr>
        <w:pStyle w:val="Heading2"/>
      </w:pPr>
      <w:r>
        <w:t>Erwägungen</w:t>
      </w:r>
    </w:p>
    <w:p>
      <w:r>
        <w:rPr>
          <w:b/>
        </w:rPr>
        <w:t>E. 25</w:t>
      </w:r>
    </w:p>
    <w:p>
      <w:r>
        <w:t>mars 2002, consid. 4.1 et références citées). En particulier, le principe de célérité qui découle de l'art. 29 Cst. pose des limites à la suspension d'une procédure jusqu'à droit connu sur le sort d'une procédure parallèle (ATF 119 II 386 consid. 1b; arrêt du Tribunal administratif fédéral A- 579/2009 du 29 août 2011, consid. 1.2.1 et références citées) (voir aussi</w:t>
      </w:r>
    </w:p>
    <w:p>
      <w:r>
        <w:t>- 4 -</w:t>
      </w:r>
    </w:p>
    <w:p>
      <w:r>
        <w:t>SEETHALER/BOCHSLER, Praxiskommentar zum Bundesgesetz über das Verwaltungsverfahren, Zurich/Bâle/Genève 2009, n° 62 ad art. 52);</w:t>
      </w:r>
    </w:p>
    <w:p>
      <w:r>
        <w:t>- pour que des mesures provisionnelles puissent être ordonnées, par l'autorité compétente pour statuer sur le fond, il faut qu'une décision sur le fond, dont le bien-fondé n'apparaît pas d'emblée exclu, ne puisse être rendue immédiatement, que les mesures provisionnelles en question constituent un moyen proportionnel d'éviter un dommage irréparable vraisemblable et qu'elles présentent un caractère d'urgence; la mesure provisionnelle ne doit ni préjuger de la décision finale ni la rendre impossible (TANQUEREL, Manuel de droit administratif, Zurich 2011, n° 846; KÖLZ/HÄNER, Verwaltungsverfahren und Verwaltungsrechtspflege des Bundes, 2e éd., Zurich 1998, n° 335);</w:t>
      </w:r>
    </w:p>
    <w:p>
      <w:r>
        <w:t>- de manière générale, la décision de suspension relève du pouvoir d'appréciation du juge; ce dernier procédera à la pesée des intérêts des parties, l'exigence de célérité l'emportant dans les cas limites (ATF 119 II 389 consid. 1b). Il appartiendra au juge de mettre en balance, d'une part, la nécessité de statuer dans un délai raisonnable et, d'autre part, le risque de décisions contradictoires (décision de la Commission fédérale de recours en matière de responsabilité de l'Etat CRR 2004-002 du 10 septembre 2004, consid. 3b);</w:t>
      </w:r>
    </w:p>
    <w:p>
      <w:r>
        <w:t>- en vertu de l’art. 17a EIMP, le principe de la célérité joue un rôle central en matière d’entraide pénale internationale;</w:t>
      </w:r>
    </w:p>
    <w:p>
      <w:r>
        <w:t>- en l’espèce, le délai dans lequel le MPC va rendre une décision de clôture s'agissant de la nouvelle demande d'entraide de l'autorité requérante datée du 8 février 2013 est un élément qui demeure actuellement inconnu de la Cour de céans;</w:t>
      </w:r>
    </w:p>
    <w:p>
      <w:r>
        <w:t>- le dépôt d'un recours contre la future décision de clôture du MPC par la société E. reste à ce jour une simple éventualité;</w:t>
      </w:r>
    </w:p>
    <w:p>
      <w:r>
        <w:t>- en outre, le cas présent ne s'inscrit pas dans la situation où le prononcé d'une autre autorité est attendu pour trancher une question décisive;</w:t>
      </w:r>
    </w:p>
    <w:p>
      <w:r>
        <w:t>- il est par ailleurs fréquent en entraide qu'une commission rogatoire soit traitée en plusieurs étapes et que des décisions de clôture successives, qu'elles portent sur une unique requête d'entraide ou sur des requêtes ampliatives, soient rendues (cf. art. 80d EIMP);</w:t>
      </w:r>
    </w:p>
    <w:p>
      <w:r>
        <w:t>- 5 -</w:t>
      </w:r>
    </w:p>
    <w:p>
      <w:r>
        <w:t>- au surplus, les requérants ne démontrent pas en quoi le prononcé d'un jugement dans la procédure RR.2012.273-274 engendrerait un dommage irréparable;</w:t>
      </w:r>
    </w:p>
    <w:p>
      <w:r>
        <w:t>- les décisions concernant les procédures de recours en question seront rendues par la même autorité, soit la Cour de céans, et ainsi les requérants n'encourent aucun risque de décisions contradictoires;</w:t>
      </w:r>
    </w:p>
    <w:p>
      <w:r>
        <w:t>- l'obligation de célérité commande dès lors le rejet de la requête en suspension de procédure;</w:t>
      </w:r>
    </w:p>
    <w:p>
      <w:r>
        <w:t>- le sort des frais suivra celui de la cause au fond.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