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RH.2026.2 vom 2. April 2026</w:t>
      </w:r>
    </w:p>
    <w:p>
      <w:r>
        <w:t>Bundesstrafgericht, 2026-04-02, IT</w:t>
      </w:r>
    </w:p>
    <w:p>
      <w:r>
        <w:rPr>
          <w:b/>
        </w:rPr>
        <w:t xml:space="preserve">Quelle: </w:t>
      </w:r>
      <w:r>
        <w:t>https://mcp.opencaselaw.ch/entscheid/bstger_RH.2026.2</w:t>
      </w:r>
    </w:p>
    <w:p>
      <w:r>
        <w:t>FR: TPF RH.2026.2 du 2 avril 2026</w:t>
      </w:r>
    </w:p>
    <w:p>
      <w:r>
        <w:t>IT: TPF RH.2026.2 del 2 aprile 2026</w:t>
      </w:r>
    </w:p>
    <w:p>
      <w:pPr>
        <w:pStyle w:val="Heading2"/>
      </w:pPr>
      <w:r>
        <w:t>Regeste</w:t>
      </w:r>
    </w:p>
    <w:p>
      <w:r>
        <w:t>Assistenza giudiziaria internazionale in materia penale all'Italia; ordine di arresto in vista di estradizione (art. 48 cpv. 2 AIMP); assistenza giudiziaria gratuita (art. 65 PA)</w:t>
      </w:r>
    </w:p>
    <w:p>
      <w:pPr>
        <w:pStyle w:val="Heading2"/>
      </w:pPr>
      <w:r>
        <w:t>Erwägungen</w:t>
      </w:r>
    </w:p>
    <w:p>
      <w:r>
        <w:rPr>
          <w:b/>
        </w:rPr>
        <w:t>E. 1.1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penale federale è competente per statuire sui reclami contro gli ordini di arresto in vista d'estradizione. Interposto entro dieci giorni dalla notificazione scritta dell'ordine di arresto (v. art. 48 cpv. 2 prima frase AIMP), il gravame è tempestivo. La legittimazione ricorsuale della reclamante è pacifica. Il gravame è di conseguenza ricevibile in ordine.</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w:t>
      </w:r>
    </w:p>
    <w:p>
      <w:r>
        <w:t>- 4 -</w:t>
      </w:r>
    </w:p>
    <w:p>
      <w:r>
        <w:t>dell’Unione europea L 239 del 22 settembre 2000, pag. 19-62; testo non pub- blicato nella RS ma consultabile sulla piattaforma di pubblicazione Internet della Confederazione alla voce “Raccolta dei testi giuridici riguardanti gli accordi set- toriali con l’UE”, 8.1 Allegato A; https://www.admin.ch/opc/it/european-union/in- ternational-agreements/008.html [in seguito: raccolta testi) unitamente al rego- lamento (UE) 2018/1862 del Parlamento europeo e del Consiglio del 28 novem- bre 2018 sull'istituzione, l'esercizio e l'uso del sistema d'informazione Schengen (SIS) nel settore della cooperazione di polizia e della cooperazione giudiziaria in materia penale (n. CELEX 32018R1862; Gazzetta ufficiale dell’Unione euro- pea L 312 del 7 dicembre 2018, pag. 56-106; raccolta testi, 8.4 Sviluppi dell'ac- quis di Schengen), così come, a partire dal 5 novembre 2019, le disposizioni della Convenzione del 27 settembre 1996 relativa all’estradizione tra gli Stati membri dell’Unione europea (Convenzione sull’estradizione UE; n° CELEX 41996A1023(02); Gazzetta ufficiale dell’Unione europea C 313 del 23 ottobre 1996, pag. 12-23, raccolta testi, 8.2 Allegato B) che in applicazione della Deci- sione 2003/169/GAI del Consiglio, del 27 febbraio 2003 (n° CELEX 32003D0169; Gazzetta ufficiale dell’Unione europea L 67 del 12 marzo 2003, pag. 25 e seg., raccolta testi, 8.2 Allegato B) costituiscono uno sviluppo dell’ac- quis di Schengen (ovvero gli art. 2, 6, 8, 9 e 13 nonché l’art. 1, per quanto per- tinente agli altri articoli). Restano impregiudicate disposizioni più favorevoli all’assistenza in vigore tra le parti (art. 59 n. 2 CAS; art. 1 n. 2 Convenzione sull’estradizione UE).</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sopra.</w:t>
      </w:r>
    </w:p>
    <w:p>
      <w:r>
        <w:rPr>
          <w:b/>
        </w:rPr>
        <w:t>E. 2.1</w:t>
      </w:r>
    </w:p>
    <w:p>
      <w:r>
        <w:t>Secondo l'art. 16 n. 1 CEEstr, in caso d'urgenza, le autorità competenti della Parte richiedente potranno domandare l'arresto provvisorio dell'individuo</w:t>
      </w:r>
    </w:p>
    <w:p>
      <w:r>
        <w:t>- 5 -</w:t>
      </w:r>
    </w:p>
    <w:p>
      <w:r>
        <w:t>ricercato; le autorità competenti della Parte richiesta statuiranno sulla domanda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 costituisce la regola mentre la scarcerazione rimane l’eccezione (DTF 130 II 306 consid. 2.2; 117 IV 359 consid. 2a; 111 IV 108 consid. 2; 109 IV 159; 109 Ib 58 consid. 2, 223 consid. 2c; ZIMMERMANN, La coopération judiciaire interna- tionale en matière pénale, 6a ediz. 2024, n. 426 e n. 428; HEIMGARTNER, Auslie- ferungsrecht, 2002, pag. 57). L’ordine di arresto in vista di estradizione può tut- 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di consegnare – ove la domanda di estradizione sia accolta e cresciuta in giudi- cato – le persone perseguite dallo Stato che ne ha fatto la richiesta (art. 1 CEEstr). In questo senso, la liberazione provvisoria dalla carcerazione ai fini estradizionali soggiace a condizioni più rigorose di quelle applicabili in materia 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w:t>
      </w:r>
    </w:p>
    <w:p>
      <w:r>
        <w:t>- 6 -</w:t>
      </w:r>
    </w:p>
    <w:p>
      <w:r>
        <w:t>provvisorio potrà e, rispettivamente, dovrà cessare se la domanda d'estradi- zione non è presentata col prescritto corredo (art. 16 n. 4, prima frase), la Con- venzione precisa (ibidem, seconda frase) che, tuttavia, la liberazione provviso- ria è sempre possibile "in quanto la Parte richiesta prenda tutte le misure da essa ritenute necessarie per evitare la fuga dell'individuo richiesto". Nessuna disposizione contiene invece la CEEstr circa la carcerazione estradizionale tra il momento della presentazione della domanda e la decisione. Applicabile è quindi unicamente il diritto dello Stato richiesto, compatibilmente col rispetto de- gli obblighi di consegna del ricercato che derivano dalla Convenzione (DTF 109 Ib 223 consid. 2a, con rinvii; MOREILLON, op. cit., n. 7 e 9 ad art. 47 AIMP).</w:t>
      </w:r>
    </w:p>
    <w:p>
      <w:r>
        <w:rPr>
          <w:b/>
        </w:rPr>
        <w:t>E. 3</w:t>
      </w:r>
    </w:p>
    <w:p>
      <w:r>
        <w:t>La reclamante contesta l’esistenza di un pericolo di fuga. Ella sarebbe domici- liata a Vacallo dal 3 ottobre 2025, data in cui ha raggiunto il proprio compagno B., unitamente alle figlie D., nata il 22 novembre 2022, ed E., nata il 15 novem- bre 2025. L’insorgente sarebbe in attesa del rilascio del permesso di dimora B/UEALS e svolgerebbe l’attività di casalinga, occupandosi esclusivamente di accudire le proprie figlie. Ella sostiene di non avere legami con altri Paesi se non con l’Italia. A suo dire, la presenza di due bambine piccole renderebbe estremamente complesso e altamente improbabile un’eventuale fuga all’estero. Ella non avrebbe del resto mai espresso l’intenzione di sottrarsi all’estradizione, se questa dovesse essere confermata in maniera definitiva. La sua precaria situazione finanziaria complicherebbe ulteriormente un’eventuale fuga all’estero. La reclamante contesta inoltre l’esistenza del pericolo di collusione, precisando che l’autorità italiana non avrebbe indicato quali sarebbero gli atti di inchiesta ancora da eseguire e in che modo gli stessi possano essere pregiudi- cati dall’eventuale scarcerazione della reclamante. I fatti a lei imputati risalireb- bero del resto al 14 novembre 2024. Il fatto di essere già stata interrogata a più riprese sugli stessi e di aver già espresso chiaramente la sua posizione esclu- derebbe ogni possibilità di inquinamento delle prove e di collusione. La misura della detenzione sarebbe quindi sproporzionata.</w:t>
      </w:r>
    </w:p>
    <w:p>
      <w:r>
        <w:rPr>
          <w:b/>
        </w:rPr>
        <w:t>E. 3.1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w:t>
      </w:r>
    </w:p>
    <w:p>
      <w:r>
        <w:t>- 7 -</w:t>
      </w:r>
    </w:p>
    <w:p>
      <w:r>
        <w:t>consid. 2.4-2.5). Il Tribunale federale ha in particolare già avuto modo di negare la scarcerazione di una persona i cui legami con la Svizzera erano indiscussi (titolare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concretizzate sia le accuse sia la possibilità effettiva di essere estradato (sentenza del Tribunale federale 8G.49/2002 del 24 maggio 2002 consid. 3b). Tenuto conto di questa 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compagna e gli amici più stretti (sentenza del Tribunale penale federale BH.2006.4 del 21 marzo 2006 consid. 2.2.1). In una sentenza del 24 novembre 2009 il Tribunale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comminata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w:t>
      </w:r>
    </w:p>
    <w:p>
      <w:r>
        <w:t>- 8 -</w:t>
      </w:r>
    </w:p>
    <w:p>
      <w:r>
        <w:t>costituivano misure atte a scongiurare il pericolo di fuga (v. sentenza del Tribu- nale penale federale RR.2009.329 del 24 novembre 2009 consid. 6.6.6). Pari- 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3.2</w:t>
      </w:r>
    </w:p>
    <w:p>
      <w:r>
        <w:t>In concreto, non si è manifestamente in presenza di circostanze particolari che imporrebbero di derogare, in via eccezionale, alla regola della carcerazione. La reclamante, ventiseienne, è cittadina italiana (v. act. 1.4), risiede a Vacallo so- lamente dal 2025, dove svolge l’attività di casalinga, occupandosi delle due fi- glie, e ha fatto richiesta di un permesso B (v. act. 7.2). Vista la predetta giuri- sprudenza (v. anche sentenze del Tribunale penale federale RR.2011.133 del 29 giugno 2011 consid. 3; RR.2011.88 del 15 aprile 2011 consid. 7; RR.2011.45 del 9 marzo 2011 consid. 4.4; ZIMMERMANN, op. cit., n. 426), l’assenza di legami sostanziali con la Svizzera nonché l’importante pena detentiva che potrebbe esserle inflitta (fino a 10 anni di reclusione; v. act. 1.3, pag. 2), i motivi addotti non sono palesemente sufficienti per negare il pericolo di fuga. Di fronte alla possibilità di un'estradizione all'Italia, persiste un marcato pericolo che l'estra- danda tenti di sottrarsi alla giustizia. Come rettamente osservato dall’UFG, essa ha del resto lasciato il territorio italiano benché a conoscenza del procedimento penale italiano a suo carico. Nulla muta il fatto che il suo legale italiano abbia presentato una richiesta di riesame dell’ordinanza di custodia cautelare in car- cere emessa nei suoi confronti in Italia, visto che l’autorità rogante ha confer- mato la validità della ricerca internazionale dopo essere venuta a conoscenza dell’arresto in Svizzera.</w:t>
      </w:r>
    </w:p>
    <w:p>
      <w:r>
        <w:rPr>
          <w:b/>
        </w:rPr>
        <w:t>E. 3.3</w:t>
      </w:r>
    </w:p>
    <w:p>
      <w:r>
        <w:t>La reclamante propone l’adozione di misure sostitutive alla detenzione, ossia: il blocco dei documenti d’identità e di legittimazione; l’obbligo di dimora o il divieto di frequentare determinati luoghi; l’obbligo di annunciarsi regolarmente a un uf- ficio pubblico; la sorveglianza elettronica. A suo dire, allattando ancora la figlia E., tali misure si giustificherebbero anche per questo motivo. Tuttavia, alla luce di quanto esposto al precedente considerando, la sorveglianza tramite braccia- letto elettronico (che non impedisce una fuga, ma permette eventualmente solo di constatarla a posteriori: v. sentenza del Tribunale penale federale RR.2009.329 consid. 1.1.2 e riferimenti citati), la consegna del passaporto e l'obbligo di annunciarsi non si rivelano misure sufficienti a scongiurare un</w:t>
      </w:r>
    </w:p>
    <w:p>
      <w:r>
        <w:t>- 9 -</w:t>
      </w:r>
    </w:p>
    <w:p>
      <w:r>
        <w:t>pericolo di fuga, per cui non possono entrare in considerazione senza ulteriori garanzie. Nella sua risposta al gravame, l’UFG ha del resto comunicato che “per quanto riguarda la figlia E., nata il 15 novembre 2025, che la ricorrente ancora allatta, essa è detenuta presso le strutture carcerarie ticinesi con la madre. Il penitenziario ha comunicato all’UFG che non ci sono problemi e che la piccola è in buona salute. L’altra figlia minorenne D., nata il 22 novembre 2022, al mo- mento dell’arresto della ricorrente e del padre della minore, è stata collocata in un adeguata struttura, seguita dalle competenti autorità cantonali per la prote- zione dei minori. Ad oggi I’UFG non ha ricevuto alcuna comunicazione in merito a problemi che potrebbero essere sorti dopo il collocamento della minore” (act. 4, pag. 4 e seg.). Esso ha anche aggiunto di avere già “informato le autorità italiane in merito alle due figlie minorenni e richiesto quali saranno le misure che saranno prese nel rispetto dell’art. 8 CEDU qualora l’estradizione della ricor- rente potrà essere autorizzata” (ibidem, pag. 5).</w:t>
      </w:r>
    </w:p>
    <w:p>
      <w:r>
        <w:rPr>
          <w:b/>
        </w:rPr>
        <w:t>E. 4</w:t>
      </w:r>
    </w:p>
    <w:p>
      <w:r>
        <w:t>Sulla base dell'incarto, non sono ravvisabili altri motivi che permetterebbero di ordinare la scarcerazione dell'estradando. In definitiva, sussistendo un reale pe- ricolo di fuga e in assenza di altra misura equivalente nei suoi risultati ma meno limitativa della libertà personale, il provvedimento impugnato non può essere considerato lesivo del principio della proporzionalità.</w:t>
      </w:r>
    </w:p>
    <w:p>
      <w:r>
        <w:rPr>
          <w:b/>
        </w:rPr>
        <w:t>E. 5</w:t>
      </w:r>
    </w:p>
    <w:p>
      <w:r>
        <w:t>In conclusione, il reclamo va respinto e la detenzione estradizionale confermata.</w:t>
      </w:r>
    </w:p>
    <w:p>
      <w:r>
        <w:rPr>
          <w:b/>
        </w:rPr>
        <w:t>E. 6</w:t>
      </w:r>
    </w:p>
    <w:p>
      <w:r>
        <w:t>La reclamante sollecita la concessione del beneficio dell'assistenza giudiziaria e del gratuito patrocinio nella persona dell’avv. Marco Morelli (v. RP.2026.15, act. 1).</w:t>
      </w:r>
    </w:p>
    <w:p>
      <w:r>
        <w:rPr>
          <w:b/>
        </w:rPr>
        <w:t>E. 6.1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Indipendentemente da quanto precede, il diritto all’assi- stenza giudiziaria gratuita deriva anche dall’art. 29 cpv. 3 Cost. (DTF 129 I 129 consid. 2.1; sentenze del Tribunale federale 5B_578/2020 dell’11 agosto 2021 consid. 3.1; 2C_367/2020 del 7 ottobre 2020 consid. 3.1). Non dispone dei mezzi necessari colui che può far fronte alle spese di causa solo intaccando il minimo vitale "allargato" suo e della sua famiglia, valutati tenendo in conside- razione sia il reddito che il patrimonio (DTF 124 I 1 consid. 2a). Una parte è da considerarsi quindi indigente allorquando, per pagare le spese processuali e le</w:t>
      </w:r>
    </w:p>
    <w:p>
      <w:r>
        <w:t>- 10 -</w:t>
      </w:r>
    </w:p>
    <w:p>
      <w:r>
        <w:t>ripetibili, è costretta ad intaccare i mezzi necessari per coprire i bisogni fonda- mentali personali e della propria famiglia (DTF 125 IV 161 consid. 4a; 124 I 1 consid. 2a; cfr. ugualmente DTF 128 I 225 consid. 2.5.1; 127 I 202 consid. 3b; sentenza del Tribunale penale federale BB.2005.111 del 24 novembre 2005 consid. 1). Il Tribunale federale considera prive di probabilità di successo le conclusioni le cui prospettive di successo sono sensibilmente inferiori a quelle di insuccesso, e che di conseguenza non possono essere definite serie. Deci- sivo è sapere se una parte che dispone dei mezzi finanziari necessari affronte- rebbe ragionevolmente un processo: chi non è disposto ad affrontare a proprie spese un processo non deve poterlo fare soltanto perché la procedura è gra- tuita. L'esistenza di sufficienti probabilità di successo va giudicata sommaria- mente in base alle condizioni al momento dell'introduzione della domanda (DTF 138 III 217 consid. 2.2.4; 133 III 614 consid. 5; 124 I 304 consid. 2c; sentenze del Tribunale federale 5A_264/2012 del 6 dicembre 2012 consid. 4.1; 5A_711/2011 del 21 dicembre 2011 consid. 3.1).</w:t>
      </w:r>
    </w:p>
    <w:p>
      <w:r>
        <w:t>L’esame della situazione finanziaria del richiedente è riferito al momento in cui l’istanza è presentata (DTF 141 III 369 consid. 4.1; sentenza del Tribunale fe- derale 6B_304/2021 del 12 aprile 2021 consid. 3). La parte che richiede l'assi- stenza giudiziaria ha il dovere di fornire ragguagli completi e, per quanto possi- bile, comprovati, sul proprio reddito, patrimonio e sull'insieme dei propri oneri finanziari. Essa è obbligata a cooperare: l’autorità confrontata con la domanda non è obbligata a chiarire da sola i fatti ivi contenuti né a verificare d’ufficio le allegazioni dell’istante (sentenze del Tribunale federale 5B_578/2020 consid. 3.3; 2C_367/2020 consid. 3.3; 5A_716/2018 del 27 novembre 2018 consid. 3.2; 9C_784/2017 del 12 gennaio 2018 consid. 2). Le informazioni e i relativi mezzi di prova devono fornire un'immagine fedele, completa e coerente della situa- zione finanziaria del richiedente (DTF 135 I 221 consid. 5.1). In caso contrario l'istanza deve essere respinta, non essendo sufficientemente sostanziato o di- mostrato lo stato di indigenza (DTF 125 IV 161 consid. 4a; sentenze 5B_578/2020 consid. 3.3; 2C_367/2020 consid. 3.3; sentenze del Tribunale pe- nale federale RP.2014.62 del 26 agosto 2014 consid. 2.1; BH.2006.6 del 18 aprile 2006 consid. 6.1).</w:t>
      </w:r>
    </w:p>
    <w:p>
      <w:r>
        <w:rPr>
          <w:b/>
        </w:rPr>
        <w:t>E. 6.2</w:t>
      </w:r>
    </w:p>
    <w:p>
      <w:r>
        <w:t>Nella fattispecie, la reclamante ha indicato nell’apposito formulario di avere spese mensili di fr. 484.35 per la cassa malati, mentre il compagno ha esposto quanto segue: fr. 1'350.– per l’affitto, fr. 484.35 per la cassa malati, fr. 300.– per l’assicurazione economia domestica e responsabilità civile e fr. 264.30 per la cassa malati delle due figlie, per un totale di fr. 2'398.65. La reclamante non ha redditi, mentre il compagno percepisce un’indennità SUVA di fr. 4'160.–. Ella ha inoltre dichiarato di non avere “nessuna dichiarazione di imposta né decisioni di tassazione in Svizzera in quanto sono in Ticino da meno di un anno. In Italia non ho mai lavorato perché casalinga, pertanto non ho nessuna dichiarazione fiscale italiana” (RP.2026.15, act. 3.1, pag. 2).</w:t>
      </w:r>
    </w:p>
    <w:p>
      <w:r>
        <w:t>- 11 -</w:t>
      </w:r>
    </w:p>
    <w:p>
      <w:r>
        <w:t>Nel complesso si tratta di una situazione finanziaria certo difficile, ma essendo il gravame sin dall’inizio privo di probabilità di successo, tale domanda non può essere accolta. In effetti, le censure sollevate dalla reclamante, alla luce delle disposizioni legali e dei principi giurisprudenziali applicabili in ambito estradizio- nale, erano manifestamente da respingere, segnatamente, e già solo, per quanto riguarda il pericolo di fuga. In definitiva, la richiesta di assistenza giudi- ziaria va respinta, sia per ciò che concerne la dispensa dal pagamento delle spese processuali, sia per quanto riguarda l'assunzione dell'onorario del suo difensore.</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tenuto conto della situazione finanziaria della reclamante, a fr. 500.–.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