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RH.2025.28 vom 19. Januar 2026</w:t>
      </w:r>
    </w:p>
    <w:p>
      <w:r>
        <w:t>Bundesstrafgericht, 2026-01-19, DE</w:t>
      </w:r>
    </w:p>
    <w:p>
      <w:r>
        <w:rPr>
          <w:b/>
        </w:rPr>
        <w:t xml:space="preserve">Quelle: </w:t>
      </w:r>
      <w:r>
        <w:t>https://mcp.opencaselaw.ch/entscheid/bstger_RH.2025.28</w:t>
      </w:r>
    </w:p>
    <w:p>
      <w:r>
        <w:t>FR: TPF RH.2025.28 du 19 janvier 2026</w:t>
      </w:r>
    </w:p>
    <w:p>
      <w:r>
        <w:t>IT: TPF RH.2025.28 del 19 gennaio 2026</w:t>
      </w:r>
    </w:p>
    <w:p>
      <w:pPr>
        <w:pStyle w:val="Heading2"/>
      </w:pPr>
      <w:r>
        <w:t>Regeste</w:t>
      </w:r>
    </w:p>
    <w:p>
      <w:r>
        <w:t>Auslieferung an Italien; Auslieferungshaftbefehl (Art. 48 Abs. 2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sowie die hierzu ergangenen Zusatzprotokolle vom</w:t>
      </w:r>
    </w:p>
    <w:p>
      <w:r>
        <w:t>- 4 -</w:t>
      </w:r>
    </w:p>
    <w:p>
      <w:r>
        <w:t>17. März 1978 (ZPII EAUe; SR 0.353.12), vom 10. November 2010 (ZPIII EAUe; SR 0.353.13) und vom 20. September 2012 (ZPIV EAUe; SR 0.353.14) massgebend (zu weiteren anwendbaren Bestimmungen im Auslieferungsverkehr mit Italien siehe zuletzt u.a. Entscheid des Bun- desstrafgerichts RR.2025.91 vom 7. August 2025 E. 1.3)</w:t>
      </w:r>
    </w:p>
    <w:p>
      <w:r>
        <w:rPr>
          <w:b/>
        </w:rPr>
        <w:t>E. 1.2</w:t>
      </w:r>
    </w:p>
    <w:p>
      <w:r>
        <w:t>Soweit das Staatsvertragsrecht bestimmte Fragen nicht abschliessend re- gelt,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149 IV 376 E. 2.1; 148 IV 314 E. 2.1; 147 II 432 E. 3.1; 145 IV 294 E. 2.1; jeweils m.w.H.). Vorbehalten bleibt die Wahrung der Menschenrechte (BGE 145 IV 294 E. 2.1; 135 IV 212 E. 2.3;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w:t>
      </w:r>
    </w:p>
    <w:p>
      <w:r>
        <w:rPr>
          <w:b/>
        </w:rPr>
        <w:t>E. 2.2</w:t>
      </w:r>
    </w:p>
    <w:p>
      <w:r>
        <w:t>Die Beschwerdekammer ist zur Behandlung der Beschwerde des Beschwer- deführers vom 19. Dezember 2025 gegen den Auslieferungshaftbefehl des Beschwerdegegners vom 1. Dezember 2025 zuständig. Die Beschwerde wurde form- und fristgerecht erhoben. Der Beschwerdeführer ist beschwer- delegitimiert. Auf die Beschwerde ist einzutreten.</w:t>
      </w:r>
    </w:p>
    <w:p>
      <w:r>
        <w:rPr>
          <w:b/>
        </w:rPr>
        <w:t>E. 3</w:t>
      </w:r>
    </w:p>
    <w:p>
      <w:r>
        <w:t>Die Verhaftung des Verfolgten während des ganzen Auslieferungsverfah- rens bildet die Regel (BGE 136 IV 20 E. 2.2; 130 II 306 E. 2.2). Die Aufhe- bung des Auslieferungshaftbefehls und die Haftentlassung rechtfertigen sich nur ausnahmsweise und unter strengen Voraussetzungen, wenn der</w:t>
      </w:r>
    </w:p>
    <w:p>
      <w:r>
        <w:t>- 5 -</w:t>
      </w:r>
    </w:p>
    <w:p>
      <w:r>
        <w:t>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Entscheide des Bundesstrafge- richts RH.2025.26 vom 17. Dezember 2025 E. 2.2; RH.2025.22 vom 14. Ok- tober 2025 E. 4).</w:t>
      </w:r>
    </w:p>
    <w:p>
      <w:r>
        <w:rPr>
          <w:b/>
        </w:rPr>
        <w:t>E. 4.1</w:t>
      </w:r>
    </w:p>
    <w:p>
      <w:r>
        <w:t>Der Beschwerdeführer macht geltend, es bestehe keine Fluchtgefahr. Er bringt zusammengefasst vor, sein Lebensmittelpunkt befinde sich seit seiner Einreise per 1. Dezember 2021 ausschliesslich in der Schweiz, wo er aktuell über eine bis 3. Februar 2027 gültige Aufenthaltsbewilligung verfüge, und es bestehe ein hoher sozialer und beruflicher Bezug zur Schweiz: er habe eine feste Arbeitsstelle als Vorarbeiter bei einem Lieferservice, ein Grossteil sei- ner Familie (sein Bruder, zu welchem er ein besonders enges Verhältnis pflege, seine beiden Onkel väterlicherseits, eine Cousine etc.) lebe in der Schweiz und er engagiere sich in der Freiwilligenarbeit. Entgegen den Aus- führungen im Auslieferungshaftbefehl habe er sich den Behörden nicht ent- zogen. Er habe sich den Behörden stets zur Verfügung gehalten und werde dies weiterhin tun. Die direkte Ausschreibung sowie der ohne Weiteres durch den Beschwerdegegner umgesetzte Erlass eines Auslieferungshaftbefehls verletze nicht nur Art. 47 IRSG und den rechtlichen Gehörsanspruch, son- dern auch den Verhältnismässigkeitsgrundsatz in krasser Weise. Selbst wenn eine geringe Fluchtgefahr angenommen würde, was bestritten werde, so lägen aufgrund der gelungenen Integration gewichtige Gründe vor, anzu- nehmen, dass mildere Massnahmen in casu ausreichend seien (act. 1 S. 8 ff.). Replicando hält der Beschwerdeführer im Wesentlichen daran fest, dass vorliegend keine konkreten Anhaltspunkte ersichtlich seien, die auf eine Fluchtgefahr schliessen liessen (act. 7 S. 7 ff.).</w:t>
      </w:r>
    </w:p>
    <w:p>
      <w:r>
        <w:rPr>
          <w:b/>
        </w:rPr>
        <w:t>E. 4.2</w:t>
      </w:r>
    </w:p>
    <w:p>
      <w:r>
        <w:t>Die bundesgerichtliche Rechtsprechung zur Verneinung von Fluchtgefahr bei Auslieferungsverfahren ist überaus restriktiv und misst der Erfüllung der staatsvertraglichen Auslieferungspflichten im Vergleich zu den Interessen des Verfolgten ausserordentlich grosses Gewicht bei. Das Bundesgericht bejaht die Fluchtgefahr bei drohenden, hohen Freiheitsstrafen in der Regel sogar dann, wenn der Betroffene über eine Niederlassungsbewilligung und</w:t>
      </w:r>
    </w:p>
    <w:p>
      <w:r>
        <w:t>- 6 -</w:t>
      </w:r>
    </w:p>
    <w:p>
      <w:r>
        <w:t>familiäre Bindungen in der Schweiz verfügt (vgl. BGE 136 IV 20 E. 2.3; Urteil des Bundesgerichts 8G.45/2001 vom 15. August 2001 E. 3a). Weshalb diese Rechtsprechung vorliegend nicht einschlägig sein könne, wie der Beschwer- deführer behauptet, erschliesst sich nicht. Soweit sich der Beschwerdeführer an der Rechtsprechung zur strafprozessualen Haft orientiert, übersieht er, dass bei der Auslieferungshaft restriktivere Regeln für eine Freilassung als bei strafprozessualer Haft gelten. In der Praxis werden die Voraussetzungen für die ausnahmsweise Entlassung des Verfolgten aus der Auslieferungshaft denn auch eher selten bejaht (vgl. Urteil des Bundesgerichts 1C_639/2015 vom 16. Dezember 2015 E. 3.4.1 mit zahlreichen Hinweisen).</w:t>
      </w:r>
    </w:p>
    <w:p>
      <w:r>
        <w:rPr>
          <w:b/>
        </w:rPr>
        <w:t>E. 4.3</w:t>
      </w:r>
    </w:p>
    <w:p>
      <w:r>
        <w:t>Die ausgesprochene Freiheitsstrafe bzw. Restfreiheitsstrafe, zu deren Voll- zug um Auslieferung des Beschwerdeführers ersucht wird, ist mit drei Jah- ren, drei Monaten und 27 Tagen nicht gering und lässt die Annahme der Fluchtgefahr zu. Der Beschwerdeführer ist 32 Jahre alt und – soweit ersicht- lich – bei guter Gesundheit (derzeit in ärztlicher Behandlung wegen eines Hautinfekts); er ist ledig und hat keine Kinder (act. 3.4). Diese Umstände bekräftigen die Möglichkeit, dass der Beschwerdeführer sich der Ausliefe- rung durch Flucht entziehen könnte. Die vorgebrachten Bezüge zur Schweiz sind angesichts der restriktiven bundesgerichtlichen Rechtsprechung nicht geeignet, die Fluchtgefahr in Frage zu stellen.</w:t>
      </w:r>
    </w:p>
    <w:p>
      <w:r>
        <w:rPr>
          <w:b/>
        </w:rPr>
        <w:t>E. 4.4</w:t>
      </w:r>
    </w:p>
    <w:p>
      <w:r>
        <w:t>Mit den vom Beschwerdeführer vorgeschlagenen Ersatzmassnahmen kann der Fluchtgefahr nicht ausreichend begegnet werden. In Anbetracht der ein- fachen Möglichkeit, sich ins Ausland abzusetzen, werden nach konstanter Rechtsprechung Abgabe der Reisedokumente, Schriftensperre, Meldepflicht und Electronic Monitoring nur in Kombination mit einer sehr substantiellen Sicherheitsleistung als überhaupt geeignet erachtet, Fluchtgefahr ausrei- chend zu bannen (vgl. zuletzt u.a. Entscheid des Bundesstrafgerichts RH.2025.22 vom 14. Oktober 2025 E. 6.3 mit Hinweisen). Der Beschwerde- führer bietet die Leistung einer Kaution von Fr. 10'000.– an, unter Beteiligung seiner engsten Angehörigen, insbesondere der Eltern. Genaue Angaben, wer genau wieviel zur Kaution beitragen soll, macht der Beschwerdeführer nicht, was aber erforderlich wäre, um die Wirksamkeit einer Sicherheitsleis- tung zu prüfen. Soll die Sicherheit (teilweise) von Dritten geleistet werden, wären zudem auch deren finanziellen Möglichkeiten von Bedeutung, ebenso die persönliche Beziehung des Beschwerdeführers zu diesen Dritten (vgl. zuletzt u.a. Entscheid des Bundesstrafgerichts RH.2024.12 vom 14. August 2024 E. 6.3). Auch dazu macht der Beschwerdeführer keine Angaben. Unter diesen Umständen ist die Annahme der Wirksamkeit einer Kaution von Fr. 10'000.– ausgeschlossen, weshalb sie als Ersatzmassnahme</w:t>
      </w:r>
    </w:p>
    <w:p>
      <w:r>
        <w:t>- 7 -</w:t>
      </w:r>
    </w:p>
    <w:p>
      <w:r>
        <w:t>ausscheidet. Daher fallen auch sämtliche anderen vom Beschwerdeführer vorgeschlagenen Ersatzmassnahmen ausser Betracht.</w:t>
      </w:r>
    </w:p>
    <w:p>
      <w:r>
        <w:rPr>
          <w:b/>
        </w:rPr>
        <w:t>E. 4.5</w:t>
      </w:r>
    </w:p>
    <w:p>
      <w:r>
        <w:t>Soweit der Beschwerdeführer in diesem Zusammenhang eine Verletzung seines Anspruchs auf rechtliches Gehör rügt, indem er nicht vorgängig zum Erlass des Auslieferungshaftbefehls angehört worden sei, ist er darauf hin- zuweisen, dass Restriktionen des rechtlichen Gehörs insbesondere zulässig sind, wenn die Gefahr besteht, dass der Zweck einer im öffentlichen Inte- resse liegenden Massnahme – wie der vorliegenden Festnahme – durch eine vorgängige Anhörung vereitelt würde. In solchen Fällen genügt es al- lenfalls, wenn das rechtliche Gehör nachträglich gewährt wird (WALD- MANN/BICKEL, in: Waldmann/Krauskopf, Praxiskommentar Verwaltungsver- fahrensgesetz, 3. Aufl. 2023, Art. 29 VwVG N. 60; vgl. HÄFELIN/MÜLLER/UHL- MANN, Allgemeines Verwaltungsrecht, 8. Aufl. 2020, N. 1008 f., die als Bei- spiel die Festnahme einer Person anführen; vgl. auch SAGER, Basler Kom- mentar, 2015, Art. 42 IRSG N. 3 in fine).</w:t>
      </w:r>
    </w:p>
    <w:p>
      <w:r>
        <w:rPr>
          <w:b/>
        </w:rPr>
        <w:t>E. 4.6</w:t>
      </w:r>
    </w:p>
    <w:p>
      <w:r>
        <w:t>Soweit der Beschwerdeführer in diesem Zusammenhang sodann auch Män- gel im italienischen Verfahren geltend macht (insbesondere keine gehörige Eröffnung eines rechtskräftigen Abschlusses des gegen ihn in Italien geführ- ten Strafverfahrens), betreffen diese Vorbringen allenfalls die Zulässigkeit der Auslieferung an sich. Letztere ist im vorliegenden Beschwerdeverfahren gegen den Auslieferungshaftbefehl grundsätzlich nicht zu prüfen. Dass die Auslieferung offensichtlich unzulässig wäre, ergibt sich aus den Vorbringen nicht.</w:t>
      </w:r>
    </w:p>
    <w:p>
      <w:r>
        <w:rPr>
          <w:b/>
        </w:rPr>
        <w:t>E. 5</w:t>
      </w:r>
    </w:p>
    <w:p>
      <w:r>
        <w:t>Andere Gründe, welche eine Auslieferung offensichtlich auszuschliessen oder sonst zu einer Aufhebung der Auslieferungshaft zu führen vermöchten, werden weder geltend gemacht noch sind solche ersichtlich. Die Be- schwerde erweist sich nach dem Gesagten als unbegründet und ist abzu- weisen.</w:t>
      </w:r>
    </w:p>
    <w:p>
      <w:r>
        <w:rPr>
          <w:b/>
        </w:rPr>
        <w:t>E. 6.1</w:t>
      </w:r>
    </w:p>
    <w:p>
      <w:r>
        <w:t>Der Beschwerdeführer ersucht um unentgeltliche Rechtspflege (RP.2025.87, act. 1).</w:t>
      </w:r>
    </w:p>
    <w:p>
      <w:r>
        <w:rPr>
          <w:b/>
        </w:rPr>
        <w:t>E. 6.2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w:t>
      </w:r>
    </w:p>
    <w:p>
      <w:r>
        <w:t>- 8 -</w:t>
      </w:r>
    </w:p>
    <w:p>
      <w:r>
        <w:t>(Art. 65 Abs. 2 VwVG). Nach der bundesgerichtlichen Rechtsprechung sind als aussichtslos Begehren anzusehen, bei denen die Gewinnaussichten be- trächtlich geringer sind als die Verlustgefahren. Dagegen gilt ein Begehren nicht als aussichtslos, wenn sich Gewinnaussichten und Verlustgefahren un- gefähr die Waage halten oder jene nur wenig geringer sind als diese (BGE 142 III 138 E. 5.1; 140 V 521 E. 9.1).</w:t>
      </w:r>
    </w:p>
    <w:p>
      <w:r>
        <w:rPr>
          <w:b/>
        </w:rPr>
        <w:t>E. 6.3</w:t>
      </w:r>
    </w:p>
    <w:p>
      <w:r>
        <w:t>Der Beschwerdeführer hat nichts vorgebracht, was mit Blick auf die einschlä- gige Rechtsprechung geeignet gewesen wäre, die Rechtsmässigkeit der an- geordneten Auslieferungshaft in Frage zu stellen. Die Beschwerde muss da- her als aussichtslos bezeichnet werden. Demzufolge ist das Gesuch um un- entgeltliche Rechtspflege bereits aus diesem Grund abzuweisen.</w:t>
      </w:r>
    </w:p>
    <w:p>
      <w:r>
        <w:rPr>
          <w:b/>
        </w:rPr>
        <w:t>E. 7</w:t>
      </w:r>
    </w:p>
    <w:p>
      <w:r>
        <w:t>Bei diesem Ausgang des Verfahrens sind die Gerichtskosten dem Be- schwerdeführer aufzuerlegen (vgl. Art. 63 Abs. 1 VwVG). Die Gerichtsgebühr ist auf Fr. 2'000.– festzusetzen (vgl. Art. 63 Abs. 4bis und 5 VwVG, Art. 73 StBOG und Art. 8 Abs. 3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