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RH.2025.27 vom 18. Dezember 2025</w:t>
      </w:r>
    </w:p>
    <w:p>
      <w:r>
        <w:t>Bundesstrafgericht, 2025-12-18, DE</w:t>
      </w:r>
    </w:p>
    <w:p>
      <w:r>
        <w:rPr>
          <w:b/>
        </w:rPr>
        <w:t xml:space="preserve">Quelle: </w:t>
      </w:r>
      <w:r>
        <w:t>https://mcp.opencaselaw.ch/entscheid/bstger_RH.2025.27</w:t>
      </w:r>
    </w:p>
    <w:p>
      <w:r>
        <w:t>FR: TPF RH.2025.27 du 18 décembre 2025</w:t>
      </w:r>
    </w:p>
    <w:p>
      <w:r>
        <w:t>IT: TPF RH.2025.27 del 18 dicembre 2025</w:t>
      </w:r>
    </w:p>
    <w:p>
      <w:pPr>
        <w:pStyle w:val="Heading2"/>
      </w:pPr>
      <w:r>
        <w:t>Regeste</w:t>
      </w:r>
    </w:p>
    <w:p>
      <w:r>
        <w:t>Auslieferung an Deutschland; Aufhebung der Haft (Art. 50 Abs. 3 IRSG</w:t>
      </w:r>
    </w:p>
    <w:p>
      <w:pPr>
        <w:pStyle w:val="Heading2"/>
      </w:pPr>
      <w:r>
        <w:t>Erwägungen</w:t>
      </w:r>
    </w:p>
    <w:p>
      <w:r>
        <w:rPr>
          <w:b/>
        </w:rPr>
        <w:t>E. 13</w:t>
      </w:r>
    </w:p>
    <w:p>
      <w:r>
        <w:t>November 1969 zwischen der Schweizerischen Eidgenossenschaft und der Bundesrepublik Deutschland über die Ergänzung des EAUe und die Er- leichterung seiner Anwendung (ZV EAUe; SR 0.353.913.61) massgebend sind (s. zu den weiteren anwendbaren Staatsverträgen Entscheid des Bun- desstrafgerichts RR.2025.87 vom 15. September 2025 E. 1.1);</w:t>
      </w:r>
    </w:p>
    <w:p>
      <w:r>
        <w:t>- das Recht des ersuchten Staates, vorliegend also das Rechtshilfegesetz und die Verordnung vom 24. Februar 1982 über internationale Rechtshilfe in Strafsachen (Rechtshilfeverordnung, IRSV; SR 351.11), Anwendung findet, soweit das Staatsvertragsrecht bestimmte Fragen nicht abschliessend re- gelt; das innerstaatliche Recht nach dem Günstigkeitsprinzip auch dann zur Anwendung gelangt, wenn es geringere Anforderungen an die Rechtshilfe stellt (BGE 149 IV 376 E. 2.1; 148 IV 314 E. 2.1; 147 II 432 E. 3.1; 145 IV 294 E. 2.1); die Wahrung der Menschenrechte vorbehalten bleibt (BGE 145 IV 294 E. 2.1; 123 II 595 E. 7c; TPF 2020 64 E. 1.1);</w:t>
      </w:r>
    </w:p>
    <w:p>
      <w:r>
        <w:t>- gegen die Abweisung des Haftentlassungsgesuchs durch das BJ der Ver- folgte innert zehn Tagen ab der schriftlichen Eröffnung Beschwerde bei der Beschwerdekammer des Bundesstrafgerichts führen kann (Art. 50 Abs. 3 i.V.m. Art. 48 Abs. 2 IRSG); für das Beschwerdeverfahren die Art. 379–397 StPO sinngemäss gelten (Art. 48 Abs. 2 i.V.m. Art. 47 IRSG); zudem die Bestimmungen des Bundesgesetzes vom 20. Dezember 1968 über das Ver- waltungsverfahren (Verwaltungsverfahrensgesetz, VwVG; SR 172.021) an- wendbar sind (Art. 39 Abs. 2 lit. b i.V.m. Art. 37 Abs. 2 lit. a Ziff. 1 StBOG), wenn das IRSG nichts anderes bestimmt (siehe Art. 12 Abs. 1 IRSG);</w:t>
      </w:r>
    </w:p>
    <w:p>
      <w:r>
        <w:t>- die Verhaftung des Verfolgten während des ganzen Auslieferungsverfahrens die Regel bildet (BGE 136 IV 20 E. 2.2; 130 II 306 E. 2.2); eine Aufhebung des Auslieferungshaftbefehls sowie eine Haftentlassung sich nur ausnahms- weise und unter strengen Voraussetzungen rechtfertigen, wenn der Ver- folgte sich voraussichtlich der Auslieferung nicht entzieht und die Strafunter- suchung nicht gefährdet (Art. 47 Abs. 1 lit. a IRSG), wenn er den sogenann- ten Alibibeweis erbringen und ohne Verzug nachweisen kann, dass er zur Zeit der Tat nicht am Tatort war (Art. 47 Abs. 1 lit. b IRSG), wenn er nicht hafterstehungsfähig ist oder andere Gründe vorliegen, welche eine weniger einschneidende Massnahme rechtfertigen (Art. 47 Abs. 2 IRSG), oder wenn</w:t>
      </w:r>
    </w:p>
    <w:p>
      <w:r>
        <w:t>- 4 -</w:t>
      </w:r>
    </w:p>
    <w:p>
      <w:r>
        <w:t>sich die Auslieferung als offensichtlich unzulässig erweist (Art. 51 Abs. 1 IRSG); diese Aufzählung nicht abschliessend ist (BGE 130 II 306 E. 2.1; 117 IV 359 E. 2a);</w:t>
      </w:r>
    </w:p>
    <w:p>
      <w:r>
        <w:t>- ein Auslieferungsersuchen offensichtlich unzulässig sein kann, wenn ohne jeden Zweifel und ohne weitere Abklärungen ein Ausschlussgrund vorliegt (vgl. BGE 111 IV 108 E. 3a); im Übrigen Vorbringen gegen die Auslieferung als solche bzw. die Begründetheit des Auslieferungsbegehrens nicht im Haft- beschwerdeverfahren, sondern im eigentlichen Auslieferungsverfahren zu prüfen sind (BGE 130 II 306 E. 2.3; 111 Ib 147 E. 4; Urteile des Bundesge- richts 1A.37/2007 vom 30. März 2007 E. 3; 1S.41/2005 vom 24. Oktober 2005 E. 2; vgl. zuletzt u.a. Entscheide des Bundesstrafgerichts RH.2025.10 vom 5. Juni 2025 E. 4; RH.2025.5 vom 30. April 2025 E. 3.2; RH.2025.4 vom 10. April 2025 E. 2.1; RH.2024.12 vom 14. August 2024 E. 3);</w:t>
      </w:r>
    </w:p>
    <w:p>
      <w:r>
        <w:t>- diese Regelung es der Schweiz ermöglichen soll, ihren staatsvertraglichen Auslieferungspflichten nachzukommen; die ausnahmsweise zu gewährende Haftentlassung deshalb an strengere Voraussetzungen gebunden ist als der Verzicht auf die gewöhnliche Untersuchungshaft in einem Strafverfahren oder die Entlassung aus einer solchen (BGE 130 II 306 E. 2.2 und 2.3; 111 IV 108 E. 2);</w:t>
      </w:r>
    </w:p>
    <w:p>
      <w:r>
        <w:t>- entgegen der Annahme des Beschwerdeführers vorliegend nicht Art. 50 Abs. 1 2. Satz IRSG, wonach die Frist zur Einreichung des Auslieferungser- suchens und der dazugehörigen Unterlagen aus besonderen Gründen bis auf 40 Tage verlängert werden kann, sondern Art. 16 Ziff. 4 EAUe massge- bend ist; danach die vorläufige Haft aufgehoben werden kann, wenn das Auslieferungsersuchen und die in Art. 12 EAUe erwähnten Unterlagen dem ersuchten Staat nicht innerhalb von 18 Tagen nach der Verhaftung vorliegen; sie in keinem Falle 40 Tage vom Zeitpunkt der Verhaftung an überschreiten darf;</w:t>
      </w:r>
    </w:p>
    <w:p>
      <w:r>
        <w:t>- für die Geltung der Frist von 40 Tagen nach Art. 16 Ziff. 4 EAUe besondere Gründe nicht vorausgesetzt sind;</w:t>
      </w:r>
    </w:p>
    <w:p>
      <w:r>
        <w:t>- folgerichtig die vom Beschwerdegegner gewährte Fristerstreckung vorlie- gend nicht zu beanstanden ist;</w:t>
      </w:r>
    </w:p>
    <w:p>
      <w:r>
        <w:t>- weder im Zeitpunkt seines Haftentlassungsgesuchs noch dieses Entschei- des 40 Tage vom Zeitpunkt seiner Verhaftung an gemäss Art. 16 Ziff. 4 EAUe überschritten sind;</w:t>
      </w:r>
    </w:p>
    <w:p>
      <w:r>
        <w:t>- 5 -</w:t>
      </w:r>
    </w:p>
    <w:p>
      <w:r>
        <w:t>- sich die Beschwerde als offensichtlich unbegründet erweist und ohne Durch- führung eines Schriftenwechsels abzuweisen ist (vgl. Art. 390 Abs. 2 StPO e contrario);</w:t>
      </w:r>
    </w:p>
    <w:p>
      <w:r>
        <w:t>- bei diesem Ausgang des Verfahrens die Gerichtskosten dem Beschwerde- führer aufzuerlegen sind (Art. 63 Abs. 1 VwVG);</w:t>
      </w:r>
    </w:p>
    <w:p>
      <w:r>
        <w:t>- die Gerichtsgebühr auf Fr. 1‘000.-- festzusetzen ist (Art. 63 Abs. 5 VwVG und Art. 73 StBOG sowie Art. 5 und 8 des Reglements des Bundesstrafge- richts vom 31. August 2010 über die Kosten, Gebühren und Entschädigun- gen in Bundesstrafverfahren [BStKR; SR 173.713.162]);</w:t>
      </w:r>
    </w:p>
    <w:p>
      <w:r>
        <w:t>- 6 -</w:t>
      </w:r>
    </w:p>
    <w:p>
      <w:r>
        <w:t>und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