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RH.2025.20 vom 27. August 2025</w:t>
      </w:r>
    </w:p>
    <w:p>
      <w:r>
        <w:t>Bundesstrafgericht, 2025-08-27, DE</w:t>
      </w:r>
    </w:p>
    <w:p>
      <w:r>
        <w:rPr>
          <w:b/>
        </w:rPr>
        <w:t xml:space="preserve">Quelle: </w:t>
      </w:r>
      <w:r>
        <w:t>https://mcp.opencaselaw.ch/entscheid/bstger_RH.2025.20</w:t>
      </w:r>
    </w:p>
    <w:p>
      <w:r>
        <w:t>FR: TPF RH.2025.20 du 27 août 2025</w:t>
      </w:r>
    </w:p>
    <w:p>
      <w:r>
        <w:t>IT: TPF RH.2025.20 del 27 agosto 2025</w:t>
      </w:r>
    </w:p>
    <w:p>
      <w:pPr>
        <w:pStyle w:val="Heading2"/>
      </w:pPr>
      <w:r>
        <w:t>Regeste</w:t>
      </w:r>
    </w:p>
    <w:p>
      <w:r>
        <w:t>Auslieferung an Österreich; Auslieferungshaftbefehl (Art. 48 Abs. 2 IRSG)</w:t>
      </w:r>
    </w:p>
    <w:p>
      <w:pPr>
        <w:pStyle w:val="Heading2"/>
      </w:pPr>
      <w:r>
        <w:t>Erwägungen</w:t>
      </w:r>
    </w:p>
    <w:p>
      <w:r>
        <w:rPr>
          <w:b/>
        </w:rPr>
        <w:t>E. 14</w:t>
      </w:r>
    </w:p>
    <w:p>
      <w:r>
        <w:t>August 2025 Rechtsanwältin Sabine Gantner-Doshi (nachfolgend «Rechtsanwältin Gantner-Doshi») in Z. erklärt, A. zu vertreten und Be- schwerde gegen den Auslieferungshaftbefehl des BJ zu erheben (act. 1.B);</w:t>
      </w:r>
    </w:p>
    <w:p>
      <w:r>
        <w:t>- diese E-Mail nicht den Anforderungen von Art. 21a Abs. 2 VwVG entspricht und daher ungültig ist;</w:t>
      </w:r>
    </w:p>
    <w:p>
      <w:r>
        <w:t>- am 26. August 2025 die Beschwerdeeingabe von Rechtsanwältin Gantner- Doshi vom 14. August 2025 per Post beim Bundesstrafgericht eingeht; der Brief am 18. August 2025 der österreichischen Post übergeben worden war (act. 1.A);</w:t>
      </w:r>
    </w:p>
    <w:p>
      <w:r>
        <w:t>- in der Beschwerde vom 14. August 2025 Rechtsanwältin Gantner-Doshi sich auf die erteilte Vollmacht beruft, welche sie indes nicht eingereicht hat (act. 1);</w:t>
      </w:r>
    </w:p>
    <w:p>
      <w:r>
        <w:t>- 3 -</w:t>
      </w:r>
    </w:p>
    <w:p>
      <w:r>
        <w:t>- sie gegen den Auslieferungsbefehl in einem ersten Punkt vorbringt, der ge- gen A. erhobene Vorwurf, er habe gegen die Kapitalerhaltungsvorschriften gemäss § 82 des österreichischen GmbH-Gesetzes verstossen, stelle eine Tat dar, welche auf eine Verkürzung fiskalischer Abgaben gerichtet er- scheine und Vorschriften über währungs-, handels- oder wirtschaftspoliti- sche Massnahmen verletze; sie geltend macht, gestützt auf Art. 3 Abs. 3 IRSG sei daher dem Auslieferungsersuchen nicht zu entsprechen (act. 1 S. 1 f.);</w:t>
      </w:r>
    </w:p>
    <w:p>
      <w:r>
        <w:t>- sie in einem zweiten Punkt ausführt, die dem Unternehmen entzogenen Beträge beliefen sich nach der Staatsanwaltschaft Feldkirch auf EUR 100'000.-- und die Vorwürfe könnten inhaltlich widerlegt werden, wes- halb gestützt auf Art. 4 IRSG die Bedeutung der Tat die Durchführung eines Auslieferungsverfahren nicht rechtfertige (act. 1 S. 2);</w:t>
      </w:r>
    </w:p>
    <w:p>
      <w:r>
        <w:t>- A. selber sich im Auslieferungsverfahren zwar am 13. August 2025 noch ge- gen eine vereinfachte Auslieferung aussprach; ihm anschliessend eine Frist zur Einreichung einer schriftlichen Stellungnahme zum Auslieferungsersu- chen angesetzt wurde (act. 4.2 S. 8);</w:t>
      </w:r>
    </w:p>
    <w:p>
      <w:r>
        <w:t>- er in der Folge aber mit Schreiben vom 15. August 2025 durch seinen Rechtsvertreter in der Schweiz, Rechtsanwalt C., dem BJ mitteilen liess, dem österreichischen Auslieferungsersuchen sei zu entsprechen und die Auslie- ferung sei zu vollziehen (act. 4.3);</w:t>
      </w:r>
    </w:p>
    <w:p>
      <w:r>
        <w:t>- anlässlich seiner Einvernahme vom 20. August 2025 A. im Auslieferungsver- fahren bestätigte, mit einer vereinfachten Auslieferung einverstanden zu sein, und den Wunsch äusserte, schnellstmöglich nach Österreich ausgelie- fert zu werden (act. 4.4 S. 2 ff.);</w:t>
      </w:r>
    </w:p>
    <w:p>
      <w:r>
        <w:t>- das BJ entsprechend wunsch- und plangemäss am 26. August 2025 die Aus- lieferung von A. vollzog (act. 3 und 4);</w:t>
      </w:r>
    </w:p>
    <w:p>
      <w:r>
        <w:t>- ein aktuelles praktisches Interesse an der Aufhebung des Auslieferungshaft- befehls vom 8. August 2025 und damit der Auslieferungshaft fehlt, nachdem sich A. nicht länger in Auslieferungshaft befindet, soweit er Rechtsanwältin Gantner-Doshi überhaupt zur Beschwerdeführung bevollmächtigt haben sollte;</w:t>
      </w:r>
    </w:p>
    <w:p>
      <w:r>
        <w:t>- das Beschwerdeverfahren nach dem Gesagten als gegenstandslos gewor- den vom Geschäftsverzeichnis abzuschreiben ist (vgl. Entscheide des</w:t>
      </w:r>
    </w:p>
    <w:p>
      <w:r>
        <w:t>- 4 -</w:t>
      </w:r>
    </w:p>
    <w:p>
      <w:r>
        <w:t>Bundesstrafgerichts RH.2020.7 vom 27. August 2020; RH.2016.8 vom 5. Oktober 2016; RH.2013.1 vom 23. April 2013);</w:t>
      </w:r>
    </w:p>
    <w:p>
      <w:r>
        <w:t>- ergänzend festzuhalten ist, dass aus den nachfolgenden Gründen die Be- schwerde gegen den Auslieferungshaftbefehl vom 8. August 2025 ohnehin in der Sache abzuweisen gewesen wäre, soweit A. Rechtsanwältin Gantner- Doshi tatsächlich zur Beschwerdeführung bevollmächtigt haben sollte;</w:t>
      </w:r>
    </w:p>
    <w:p>
      <w:r>
        <w:t>- die Verhaftung des Verfolgten während des ganzen Auslieferungsverfahrens die Regel (BGE 136 IV 20 E. 2.2; 130 II 306 E. 2.2) bildet; eine Aufhebung des Auslieferungshaftbefehls sowie eine Haftentlassung sich nur ausnahms- weise und unter strengen Voraussetzungen rechtfertigen,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nicht abschliessend ist (BGE 130 II 306 E. 2.1; 117 IV 359 E. 2a; vgl. zum Ganzen zuletzt u.a. die Entscheide des Bundesstraf- gerichts RH.2025.2 vom 14. Februar 2025 E. 4; RH.2024.16 vom 10. De- zember 2024 E. 2.3.1 f.; RH.2024.14 vom 30. Oktober 2024 E. 2.1; RH.2024.12 vom 14. August 2024 E. 3);</w:t>
      </w:r>
    </w:p>
    <w:p>
      <w:r>
        <w:t>- ein Auslieferungsersuchen offensichtlich unzulässig sein kann, wenn ohne jeden Zweifel und ohne weitere Abklärungen ein Ausschlussgrund vorliegt (BGE 111 IV 108 E. 3a); im Übrigen Vorbringen gegen die Auslieferung als solche oder gegen die Begründetheit des Auslieferungsbegehrens nicht im Beschwerdeverfahren gegen den Auslieferungshaftbefehl, sondern im ei- gentlichen Auslieferungsverfahren zu prüfen sind (vgl. MOREILLON/DU- PUIS/MAZOU, La pratique judiciaire du Tribunal pénal fédéral, in Journal des Tribunaux 2009 IV 111 Nr. 190 und 2008 IV 66 Nr. 322 je m.w.H. auf die Rechtsprechung).</w:t>
      </w:r>
    </w:p>
    <w:p>
      <w:r>
        <w:t>- die ausnahmsweise zu gewährende Haftentlassung an strengere Vorausset- zungen gebunden ist als der Verzicht auf die gewöhnliche Untersuchungs- haft in einem Strafverfahren oder die Entlassung aus einer solchen; diese Regelung es der Schweiz ermöglichen soll, ihren staatsvertraglichen Auslie- ferungspflichten nachzukommen (BGE 130 II 306 E. 2.2 und 2.3; 111 IV 108 E. 2; Entscheid des Bundesstrafgerichts RH.2015.14 vom 9. Juli 2015 E. 4.1);</w:t>
      </w:r>
    </w:p>
    <w:p>
      <w:r>
        <w:t>- 5 -</w:t>
      </w:r>
    </w:p>
    <w:p>
      <w:r>
        <w:t>- Rechtsanwältin Gantner-Doshi in der Beschwerde nicht dargelegt hat, dass hier ein offensichtlich unzulässiges Auslieferungsersuchen vorliegen würde;</w:t>
      </w:r>
    </w:p>
    <w:p>
      <w:r>
        <w:t>- im Gegenteil die A. vorgeworfenen Straftaten offensichtlich weder Fiskalde- likte noch handels- oder wirtschaftspolitische Delikte im Sinne von Art. 3 Abs. 3 IRSG darstellen; gemäss feststehender Rechtsprechung eine Ableh- nung der Auslieferung gestützt auf Art. 4 IRSG im Verhältnis zu einem Staat, welcher wie Österreich das EAUe ratifiziert hat, sodann nicht möglich ist, da dieser Verweigerungsgrund staatsvertraglich nicht vorgesehen ist, selbst wenn ein geringfügiges Vermögensdelikt angenommen würde; sich somit die Rügen von Rechtsanwältin Gantner-Doshi als offensichtlich unbegründet er- weisen; andere Gründe, welche gemäss Art. 47 Abs. 2 IRSG allenfalls eine Haftentlassung hätten rechtfertigen vermögen, nicht namhaft gemacht wur- den;</w:t>
      </w:r>
    </w:p>
    <w:p>
      <w:r>
        <w:t>- es sich vorliegend rechtfertigt, auf die Erhebung einer Gerichtsgebühr zu ver- zichten (Art. 63 Abs. 1 Satz 3 VwVG i.V.m. Art. 39 Abs. 2 lit. b StBO);</w:t>
      </w:r>
    </w:p>
    <w:p>
      <w:r>
        <w:t>- bei diesem Prüfungsergebnis von Weiterungen zur Vertretungsfrage abzu- sehen ist.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