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RH.2025.19 vom 1. September 2025</w:t>
      </w:r>
    </w:p>
    <w:p>
      <w:r>
        <w:t>Bundesstrafgericht, 2025-09-01, DE</w:t>
      </w:r>
    </w:p>
    <w:p>
      <w:r>
        <w:rPr>
          <w:b/>
        </w:rPr>
        <w:t xml:space="preserve">Quelle: </w:t>
      </w:r>
      <w:r>
        <w:t>https://mcp.opencaselaw.ch/entscheid/bstger_RH.2025.19</w:t>
      </w:r>
    </w:p>
    <w:p>
      <w:r>
        <w:t>FR: TPF RH.2025.19 du 1 septembre 2025</w:t>
      </w:r>
    </w:p>
    <w:p>
      <w:r>
        <w:t>IT: TPF RH.2025.19 del 1 settembre 2025</w:t>
      </w:r>
    </w:p>
    <w:p>
      <w:pPr>
        <w:pStyle w:val="Heading2"/>
      </w:pPr>
      <w:r>
        <w:t>Regeste</w:t>
      </w:r>
    </w:p>
    <w:p>
      <w:r>
        <w:t>Auslieferung an Deutschland; Auslieferungshaftbefehl (Art. 48 Abs. 2 IRSG)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April 2025 E. 2.1; RH.2024.12 vom 14. August 2024 E. 3);</w:t>
      </w:r>
    </w:p>
    <w:p>
      <w:r>
        <w:t>- der Beschwerdeführer vorbringt, die Auflagen, welche mit der Aussetzung der Vollstreckung der Freiheitsstrafe erteilt worden seien, erfüllt zu haben;</w:t>
      </w:r>
    </w:p>
    <w:p>
      <w:r>
        <w:t>- das Vorbringen des Beschwerdeführers die Auslieferung selbst betrifft und gegebenenfalls im Auslieferungsverfahren vorgebracht werden muss; es den Schluss, die Auslieferung sei offensichtlich nicht zulässig, nicht zulässt und keinen Haftentlassungsgrund darstellt (Entscheid des Bundesstrafge- richts RH.2023.10 vom 3. Juli 2023 E. 2.3);</w:t>
      </w:r>
    </w:p>
    <w:p>
      <w:r>
        <w:t>- sich die Beschwerde als offensichtlich unbegründet erweist und ohne Durch- führung eines Schriftenwechsels abzuweisen ist (vgl. Art. 390 Abs. 2 StPO e contrario), soweit darauf einzutreten ist;</w:t>
      </w:r>
    </w:p>
    <w:p>
      <w:r>
        <w:t>- die Verfahrenskosten in der Regel der unterliegenden Partei auferlegt wer- den; sie ihr ausnahmsweise erlassen werden können (Art. 63 Abs. 1 VwVG);</w:t>
      </w:r>
    </w:p>
    <w:p>
      <w:r>
        <w:t>- die Verfahrenskosten einer Partei ausnahmsweise erlassen werden können, wenn besondere Gründe in der Sache oder in der Person der Partei es als unverhältnismässig erscheinen lassen, sie ihr aufzuerlegen (BEUSCH, in: Auer/Müller/Schindler [Hrsg.], Bundesgesetz über das Verwaltungsverfah- ren, Kommentar, 2. Aufl. 2019, Art. 63 VwVG N. 15; MÜLLER, in: Wald- mann/Krauskopf [Hrsg.], Praxiskommentar Verwaltungsverfahrensgesetz, 3. Aufl. 2023, Art. 63 VwVG N. 19; vgl. Art. 6 lit. b des Reglements vom</w:t>
      </w:r>
    </w:p>
    <w:p>
      <w:r>
        <w:t>- 5 -</w:t>
      </w:r>
    </w:p>
    <w:p>
      <w:r>
        <w:t>21. Februar 2008 über die Kosten und Entschädigungen vor dem Bundes- verwaltungsgericht [VGKE; SR 173.320.2] und Art. 4a lit. b der Verordnung vom 10. September 1969 über Kosten und Entschädigungen im Verwal- tungsverfahren [SR 172.041.0]);</w:t>
      </w:r>
    </w:p>
    <w:p>
      <w:r>
        <w:t>- es sich vorliegend rechtfertigt, dem nicht verbeiständeten Beschwerdeführer die Verfahrenskosten zu erlassen;</w:t>
      </w:r>
    </w:p>
    <w:p>
      <w:r>
        <w:t>- Parteien, die in einem Verfahren Begehren stellen, der Behörde ihren Wohnsitz oder Sitz anzugeben haben (Art. 11b Abs. 1 VwVG);</w:t>
      </w:r>
    </w:p>
    <w:p>
      <w:r>
        <w:t>- das anzugebende Zustellungsdomizil nicht auf die in Art. 23 und Art. 56 ZGB umschriebenen Orte beschränkt ist; es zulässig ist, eine Postadresse be- kanntzugeben, an welche die behördlichen Mitteilungen zugestellt werden können (Urteil des Bundesgerichts 2C_463/2019 vom 8. Juni 2020 E. 3.2.1; MARANTELLI-SONANINI/HUBER, in: Waldmann/Krauskopf [Hrsg.], Praxiskom- mentar Verwaltungsverfahrensgesetz, 3. Aufl. 2023, Art. 11b VwVG N. 4);</w:t>
      </w:r>
    </w:p>
    <w:p>
      <w:r>
        <w:t>- der Pflicht der rechtsunterworfenen Person, im bundesrechtlichen Verwal- tungsverfahren die Postanschrift bekanntzugeben, die Pflicht der Bundes- verwaltungsbehörde gegenübersteht, die ihr gemeldete zulässige Postan- schrift zu verwenden (Urteil des Bundesgerichts 2C_463/2019 vom 8. Juni 2020 E. 3.2.1; MARANTELLI-SONANINI/HUBER, a.a.O., Art. 11b VwVG N. 5);</w:t>
      </w:r>
    </w:p>
    <w:p>
      <w:r>
        <w:t>- der vorliegende Entscheid an die vom Beschwerdeführer angegebene Post- anschrift zuzustellen ist;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