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RH.2025.16 vom 25. August 2025</w:t>
      </w:r>
    </w:p>
    <w:p>
      <w:r>
        <w:t>Bundesstrafgericht, 2025-08-25, IT</w:t>
      </w:r>
    </w:p>
    <w:p>
      <w:r>
        <w:rPr>
          <w:b/>
        </w:rPr>
        <w:t xml:space="preserve">Quelle: </w:t>
      </w:r>
      <w:r>
        <w:t>https://mcp.opencaselaw.ch/entscheid/bstger_RH.2025.16</w:t>
      </w:r>
    </w:p>
    <w:p>
      <w:r>
        <w:t>FR: TPF RH.2025.16 du 25 août 2025</w:t>
      </w:r>
    </w:p>
    <w:p>
      <w:r>
        <w:t>IT: TPF RH.2025.16 del 25 agosto 2025</w:t>
      </w:r>
    </w:p>
    <w:p>
      <w:pPr>
        <w:pStyle w:val="Heading2"/>
      </w:pPr>
      <w:r>
        <w:t>Regeste</w:t>
      </w:r>
    </w:p>
    <w:p>
      <w:r>
        <w:t>Assistenza giudiziaria internazionale in materia penale alla Francia; ordine di arresto in vista di estradizione (art. 48 cpv. 2 AIMP)</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penale federale è competente per statuire sui reclami contro gli ordini di arresto in vista d'estradizione.</w:t>
      </w:r>
    </w:p>
    <w:p>
      <w:r>
        <w:rPr>
          <w:b/>
        </w:rPr>
        <w:t>E. 1.2</w:t>
      </w:r>
    </w:p>
    <w:p>
      <w:r>
        <w:t>La procedura di estradizione tra la Svizzera e la Francia è anzitutto retta dalla Convenzione europea di estradizione del 13 dicembre 1957 (CEEstr; RS 0.353.1), entrata in vigore per la Svizzera il 20 marzo 1967 e per la Francia l'11 maggio 1986, dal Secondo protocollo aggiuntivo a tale convenzione (PA II; RS 0.353.12), entrato in vigore per la Svizzera il 9 giugno 1985 e per la Francia l'8 settembre 2021, dal Terzo Protocollo aggiuntivo (PA II CEEstr; RS 0.353.13), entrato in vigore per la Svizzera il 1° novembre 2016 e per la Francia il 1° ottobre 2021, nonché dal Quarto protocollo aggiuntivo (PA IV CEEstr; RS 0.353.14), entrato in vigore per la Svizzera il 1° novembre 2016 e per la Francia il 1° ottobre 2021. Applicabile è inoltre l'Accordo del 10 febbraio 2003 la Svizzera e la Fran- cia relativo alla procedura semplificata di estradizione e che completa la CEEstr (RS 0.353.934.92). Di rilievo sono altresì gli articoli da 59 a 66 della Conven- zione di applicazione dell'accordo di Schengen del 14 giugno 1985 (CAS; n. CELEX 42000A0922[02]; Gazzetta ufficiale dell'Unione europea [di seguito: GU] L 239 del 22 settembre 2000, pag. 19-62; testo non pubblicato nella RS ma consultabile alla voce «Raccolta di testi giuridici sugli accordi settoriali con l'UE», https://www.admin.ch/opc/fr/european-union/international-agreements/ 008.html, scheda «8.1 Allegato A», nonché gli art. 26 e segg. della decisione 2007/533/GAI del Consiglio del 12 giugno 2007 relativa all'istituzione, all'instal- lazione e all'uso del sistema d'informazione Schengen di seconda generazione (SIS II; GU L 205 del 7 agosto 2007, pag. 63-84) e le disposizioni corrispondenti del regolamento (UE) 2018/1862 del Parlamento europeo e del Consiglio, del 28 novembre 2018, sull'istituzione, il funzionamento e l'uso del sistema d'infor- mazione Schengen (SIS) nel settore della cooperazione di polizia e della co- operazione giudiziaria in materia penale (GU L 312/56 del 7 dicembre 2018, pag. 56 e segg.; v. art. 79, pag. 103 [testi disponibili sul sito Internet sopra indi- cato, scheda «8.4 Sviluppi dell'acquis di Schengen»]), applicato provvisoria- mente dalla Svizzera dal 28 dicembre 2019 (v. RS 0.362.380.086). Si applicano inoltre le disposizioni della Convenzione del 27 settembre 1996 relativa all'e- stradizione tra gli Stati membri dell'Unione europea, entrata in vigore il 5 no- vembre 2019 (CE-UE; n. CELEX 41996A1023[02]; GU C 313/12 del 23 ottobre 1996, pag. 12-23; consultabile sullo stesso sito Internet, scheda «8.2 Allegato B»), in relazione alla decisione 2003/169/GAI del Consiglio del 27 febbraio 2003 (n. CELEX 32003D0169; GU L 67 del 12 marzo 2003, pag. 25 e segg.,</w:t>
      </w:r>
    </w:p>
    <w:p>
      <w:r>
        <w:t>- 4 -</w:t>
      </w:r>
    </w:p>
    <w:p>
      <w:r>
        <w:t>consultabile sempre sullo stesso sito Internet, scheda «8.2 Allegato B»), che costituiscono uno sviluppo dell'acquis di Schengen (ossia gli articoli 2, 6, 8, 9 e 13, nonché l'articolo 1 nella misura in cui è pertinente per gli altri articoli). Ciò fatto salvo le disposizioni più ampie in vigore tra le parti in conformità degli ac- cordi bilaterali o multilaterali (art. 59 par. 2 CAS; art. 1 cpv. 2 CE-UE).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2</w:t>
      </w:r>
    </w:p>
    <w:p>
      <w:r>
        <w:t>L’art. 52 PA prevede che l’atto di ricorso deve contenere le conclusioni, i motivi, l’indicazione dei mezzi di prova e la firma del ricorrente o del suo rappresen- tante; devono essere allegati la decisione impugnata e i documenti indicati come mezzi di prova, se sono in possesso del ricorrente (cpv. 1). Se il ricorso non soddisfa a questi requisiti o se le conclusioni o i motivi del ricorrente non sono sufficientemente chiari, e il ricorso non sembra manifestamente inammis- sibile, l’autorità di ricorso assegna al ricorrente un breve termine suppletorio per rimediarvi (cpv. 2). Essa gli assegna questo termine con la comminatoria che, decorrendo infruttuoso, deciderà secondo l’inserto o, qualora manchino le con- clusioni, i motivi oppure la firma, non entrerà nel merito del ricorso (cpv. 3).</w:t>
      </w:r>
    </w:p>
    <w:p>
      <w:r>
        <w:rPr>
          <w:b/>
        </w:rPr>
        <w:t>E. 2.1</w:t>
      </w:r>
    </w:p>
    <w:p>
      <w:r>
        <w:t>In concreto, preso atto del contenuto molto confuso e poco comprensibile del gravame, dal quale risulta difficile delineare motivi e conclusioni – esso sembra peraltro mischiare censure relative alla procedura penale svizzera sfociata nella condanna che il reclamante sta scontando attualmente in Ticino con quelle pret- tamente estradizionali –, questa Corte ha invitato il predetto, trasmettendo copia di tale invito anche al MLaw B., legale che lo ha assistito dinanzi all’UFG, a completare il proprio reclamo (v. act. 3). Tuttavia, da un lato, B. ha espresso la sua volontà di revocare il mandato conferitogli (v. act. 5), dall’altro, il reclamante è rimasto silente. Tenuto conto che nell’invito trasmesso è stato chiaramente</w:t>
      </w:r>
    </w:p>
    <w:p>
      <w:r>
        <w:t>- 5 -</w:t>
      </w:r>
    </w:p>
    <w:p>
      <w:r>
        <w:t>indicato che, trascorso infruttuoso il termine fissato (all’11 agosto), “questa Corte deciderà secondo l’inserto o, qualora manchino le conclusioni, i motivi oppure la firma, non entrerà nel merito del ricorso (art. 52 cpv. 3 PA)” (act. 3), il presente reclamo deve essere dichiarato inammissibile.</w:t>
      </w:r>
    </w:p>
    <w:p>
      <w:r>
        <w:rPr>
          <w:b/>
        </w:rPr>
        <w:t>E. 2.2</w:t>
      </w:r>
    </w:p>
    <w:p>
      <w:r>
        <w:t>Si rileva che, fosse anche stato il gravame ammissibile, la detenzione estradi- zionale sarebbe stata comunque da confermare. Ribadito che il reclamante è attualmente in detenzione in seguito a una condanna inflittagli dalle autorità pe- nali ticinesi, i fatti per i quali la Francia ha richiesto il suo arresto estradizionale sono gravi (v. act. 2.1, pag. 1 e seg. nonché act. 2.2, pag. 2 e seg.) e possono sfociare in una condanna sino a 10 anni di reclusione (v. act. 2.2, pag. 2), per cui il pericolo di fuga, fosse stato in libertà, sarebbe stato evidente e concreto, anche perché dall’incarto non emergono particolari legami del predetto, domici- liato in Francia (v. act. 2.3, pag. 1), con la Svizzera.</w:t>
      </w:r>
    </w:p>
    <w:p>
      <w:r>
        <w:rPr>
          <w:b/>
        </w:rPr>
        <w:t>E. 3</w:t>
      </w:r>
    </w:p>
    <w:p>
      <w:r>
        <w:t>In conclusione, il reclamo va dichiarato inammissibile.</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 a carico del reclamante.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