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RH.2025.14 vom 23. Juli 2025</w:t>
      </w:r>
    </w:p>
    <w:p>
      <w:r>
        <w:t>Bundesstrafgericht, 2025-07-23, DE</w:t>
      </w:r>
    </w:p>
    <w:p>
      <w:r>
        <w:rPr>
          <w:b/>
        </w:rPr>
        <w:t xml:space="preserve">Quelle: </w:t>
      </w:r>
      <w:r>
        <w:t>https://mcp.opencaselaw.ch/entscheid/bstger_RH.2025.14</w:t>
      </w:r>
    </w:p>
    <w:p>
      <w:r>
        <w:t>FR: TPF RH.2025.14 du 23 juillet 2025</w:t>
      </w:r>
    </w:p>
    <w:p>
      <w:r>
        <w:t>IT: TPF RH.2025.14 del 23 luglio 2025</w:t>
      </w:r>
    </w:p>
    <w:p>
      <w:pPr>
        <w:pStyle w:val="Heading2"/>
      </w:pPr>
      <w:r>
        <w:t>Regeste</w:t>
      </w:r>
    </w:p>
    <w:p>
      <w:r>
        <w:t>Auslieferung an Italien; Auslieferungshaftbefehl (Art. 48 Abs. 2 IRSG)</w:t>
      </w:r>
    </w:p>
    <w:p>
      <w:pPr>
        <w:pStyle w:val="Heading2"/>
      </w:pPr>
      <w:r>
        <w:t>Erwägungen</w:t>
      </w:r>
    </w:p>
    <w:p>
      <w:r>
        <w:rPr>
          <w:b/>
        </w:rPr>
        <w:t>E. 1</w:t>
      </w:r>
    </w:p>
    <w:p>
      <w:r>
        <w:t>Gemäss Art. 3 Abs. 1 des Bundesgesetzes vom 19. März 2010 über die Or- ganisation der Strafbehörden des Bundes (StBOG; SR 173.71) ist die Ver- fahrenssprache Deutsch, Französisch oder Italienisch. Gemäss Art. 33a Abs. 2 des Bundesgesetzes vom 20. Dezember 1968 über das Verwaltungs- verfahren (Verwaltungsverfahrensgesetz, VwVG; SR 172.021) und nach konstanter Praxis der Beschwerdekammer bestimmt die Sprache des ange- fochtenen Entscheids die Sprache im Beschwerdeverfahren (TPF 2018 133 E. 1 m.w.H.). Davon abzuweichen besteht hier kein Grund. Der vorliegende Entscheid ergeht deshalb in deutscher Sprache, auch wenn die Beschwerde in Italienisch eingereicht wurde.</w:t>
      </w:r>
    </w:p>
    <w:p>
      <w:r>
        <w:rPr>
          <w:b/>
        </w:rPr>
        <w:t>E. 2.1</w:t>
      </w:r>
    </w:p>
    <w:p>
      <w:r>
        <w:t>Für den Auslieferungsverkehr zwischen der Schweiz und Italien sind primär das Europäische Auslieferungsübereinkommen vom 13. Dezember 1957 (EAUe; SR 0.353.1), dem beide Staaten beigetreten sind, sowie die am</w:t>
      </w:r>
    </w:p>
    <w:p>
      <w:r>
        <w:t>- 4 -</w:t>
      </w:r>
    </w:p>
    <w:p>
      <w:r>
        <w:t>17. März 1978, am 10. November 2010 und am 20. September 2012 ergan- genen Zusatzprotokolle (ZP II; SR 0.353.12; ZP III EAUe; SR 0.353.13; ZPIV EAUe; SR. 0353.14) massgebend. Überdies anwendbar sind das Schenge- ner Durchführungsübereinkommen vom 14. Juni 1985 (SDÜ; CELEX-Nr. 42000A0922(02); ABl. L 239 vom 22. September 2000, S. 19- 62; Text nicht publiziert in der SR, jedoch abrufbar auf der Webseite der Schweizerischen Eidgenossenschaft unter «Rechtssammlung zu den sektoriellen Abkom- men», 8.1 Anhang A; https://www.admin.ch/opc/de/europeanunion/internati- onal-agreements/008.html) i.V.m. dem Beschluss des Rates 2007/533/JI vom 12. Juni 2007 über die Einrichtung, den Betrieb und die Nutzung des SIS der zweiten Generation (SIS II), namentlich Art. 26-31 (CELEX- Nr. 32007D0533; ABl. L 205 vom 7. August 2007, S. 63-84; abrufbar unter «Rechtssammlung zu den sektoriellen Abkommen», 8.4 Weiterentwicklun- gen des Schengen-Besitzstands), sowie diejenigen Bestimmungen des Übereinkommens vom 27. September 1996 über die Auslieferung zwischen den Mitgliedstaaten der Europäischen Union (EU-Auslieferungsübereinkom- men; CELEX-Nr. 41996A1023(02); Abl. C 313 vom 23. Oktober 1996, S. 12– 23), welche gemäss dem Beschluss des Rates 2003/169/JI vom 27. Februar 2003 (CELEX-Nr. 32003D0169; Abl. L 67 vom 12. März 2003, S. 25 f.; ab- rufbar unter «Rechtssammlung zu den sektoriellen Abkommen mit der EU», 8.2 Anhang B) eine Weiterentwicklung des Schengen-Besitzstands darstel- len (d.h. die Art. 2, 6, 8, 9 und 13 des EU-Auslieferungsübereinkommens sowie dessen Art. 1, soweit er für die anderen Artikel relevant ist). Die zwi- schen den Vertragsparteien geltenden weitergehenden Bestimmungen auf- grund bilateraler oder multilateraler Abkommen bleiben unberührt (Art. 59 Abs. 2 SDÜ; Art. 1 Abs. 2 EU-Auslieferungsübereinkommen).</w:t>
      </w:r>
    </w:p>
    <w:p>
      <w:r>
        <w:rPr>
          <w:b/>
        </w:rPr>
        <w:t>E. 2.2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 S. 26).</w:t>
      </w:r>
    </w:p>
    <w:p>
      <w:r>
        <w:rPr>
          <w:b/>
        </w:rPr>
        <w:t>E. 2.3</w:t>
      </w:r>
    </w:p>
    <w:p>
      <w:r>
        <w:t>Für das Beschwerdeverfahren gelten zudem die Art. 379–397 StPO sinnge- mäss (Art. 48 Abs. 2 i.V.m. Art. 47 IRSG) und die Bestimmungen des VwVG (vgl. Art. 39 Abs. 2 lit. b i.V.m. Art. 37 Abs. 2 lit. a Ziff. 1 StBOG).</w:t>
      </w:r>
    </w:p>
    <w:p>
      <w:r>
        <w:t>- 5 -</w:t>
      </w:r>
    </w:p>
    <w:p>
      <w:r>
        <w:rPr>
          <w:b/>
        </w:rPr>
        <w:t>E. 3</w:t>
      </w:r>
    </w:p>
    <w:p>
      <w:r>
        <w:t>Gegen die Abweisung des Haftentlassungsgesuchs durch das BJ kann der Verfolgte bei der Beschwerdekammer des Bundesstrafgerichts Beschwerde führen (Art. 50 Abs. 3 i.V.m. Art. 48 Abs. 2 IRSG).</w:t>
      </w:r>
    </w:p>
    <w:p>
      <w:r>
        <w:t>Die Eintretensvoraussetzungen geben keinen Anlass zu Bemerkungen. Auf die Beschwerde ist einzutreten.</w:t>
      </w:r>
    </w:p>
    <w:p>
      <w:r>
        <w:rPr>
          <w:b/>
        </w:rPr>
        <w:t>E. 4</w:t>
      </w:r>
    </w:p>
    <w:p>
      <w:r>
        <w:t>Dem Verfolgten wurde in der Hafteinvernahme ein Anwalt zugesichert («Ja, wir werden Ihnen einen organisieren», act. 4.4 S. 3). Er scheint nicht in der Lage, einen zu mandatieren. Gemäss Art. 21 Abs. 1 IRSG kann der Verfolgte einen Rechtsbeistand bestellen. Sieht er davon ab oder ist er dazu nicht in der Lage, so wird ein Beistand amtlich ernannt, wenn es die Wahrung seiner Interessen erfordert. Übersteigerte Anforderungen sind dabei namentlich an- gesichts von Auslieferungshaft nicht angebracht (GLESS/SCHAFFNER, Basler Kommentar, 2015, Art. 21 IRSG N. 34–47, insbes. 37, 42–45). Daraus erge- ben sich für das vorliegende Beschwerdeverfahren keine Weiterungen.</w:t>
      </w:r>
    </w:p>
    <w:p>
      <w:r>
        <w:rPr>
          <w:b/>
        </w:rPr>
        <w:t>E. 5.1</w:t>
      </w:r>
    </w:p>
    <w:p>
      <w:r>
        <w:t>Der Beschwerdeführer bringt in seiner handgeschriebenen, auf Italienisch verfassten Eingabe einleitend vor, das Gesetz sei für alle gleich. Er sei Vater von sechs Kindern, je drei Mädchen und Knaben. Er arbeite seit zwei Jahren in der Schweiz, zum Zeitpunkt seiner Verhaftung für die B. Security. Er habe in Deutschland eine Firma für die Sicherheit der Fussballstadien in Frankfurt, Wiesbaden und kleineren Städten im Bundesland Hessen gehabt. Er sei zu- nächst als Subunternehmer für die Firma C. tätig gewesen. Er habe zur Be- währung vier Konzerte mit 40 Mitarbeitern, die meisten Tschetschenen, be- treut. Diese seien illegal nach Deutschland gereist, mit der Hilfe von mafiö- sen tschetschenischen Banden. Er habe dann mit C. einen Vertrag unter- zeichnet, gemäss dem er mit rund 100 Mitarbeitern für die Sicherheit in Sta- dien bei Heimspielen verantwortlich sei. Er habe die Mitarbeiter vom Tschet- schenen D. erhalten. Fast keiner der Mitarbeiter habe einen regulären Ver- trag gewünscht. Er habe sich daraufhin auf ihr Spiel eingelassen. Er sei von ihnen oft bedroht worden. Die Tschetschenen hätten gegen Ende des Jahres 2022 (November/Dezember) grossen Bedarf an Fahrzeugen gehabt, um Menschen aus Slowenien nach Deutschland zu transportieren. Am 30. De- zember 2022 sei er gezwungen worden, dabei mitzuhelfen. Er könne nicht mehr sagen, da seine Familie noch in Deutschland lebe und er sie nicht ge- fährden wolle.</w:t>
      </w:r>
    </w:p>
    <w:p>
      <w:r>
        <w:t>- 6 -</w:t>
      </w:r>
    </w:p>
    <w:p>
      <w:r>
        <w:t>Der Beschwerdeführer stellt in der Folge das Vorgehen der Guardia di Fi- nanza bei der Verhaftung und Einvernahme der angehaltenen Personen in Frage und warum sie alle in Italien freigelassen und nicht im Dublinverfahren nach Slowenien gebracht worden seien. Er habe noch vieles vorzubringen und benötige einen Verteidiger seines Vertrauens, um den Strafprozess wie- der aufzunehmen. Mit einem Einreiseverbot habe er nicht am italienischen Prozess teilnehmen können und er sei nicht gut verteidigt gewesen. Seine Verhaftung bringe seine vielköpfige Familie in Schwierigkeiten. Er habe sich zusammen mit seinem Sohn für eine 5 ½-Zimmer-Wohnung beworben, da- mit er mit seiner Familie aus Deutschland zusammenziehen könne. Wäre er nochmals in der gleichen Situation, er würde sich niemals wieder verhalten wie am 30. Dezember 2022.</w:t>
      </w:r>
    </w:p>
    <w:p>
      <w:r>
        <w:t>Der Beschwerdeführer beantragt, mit elektronischen Ersatzmassnahmen eingeschränkt freigelassen zu werden, um einen Anwalt seines Vertrauens zu finden, einer mit mindestens 3–4 Kindern, der ihn verteidigen könne. Er müsse arbeiten, um seine Familie versorgen zu können. Andernfalls falle sie in Armut und seine Kinder hätten kein gutes Leben. Er müsse in Freiheit sein, um arbeiten zu können und einen Anwalt und die Kosten bezahlen zu kön- nen.</w:t>
      </w:r>
    </w:p>
    <w:p>
      <w:r>
        <w:rPr>
          <w:b/>
        </w:rPr>
        <w:t>E. 5.2</w:t>
      </w:r>
    </w:p>
    <w:p>
      <w:r>
        <w:t>Das BJ weist darauf hin, dass angesichts der längeren Freiheitsstrafe keine genügenden Bande des Beschwerdeführers zur Schweiz bestünden. Daran änderten auch die finanziellen Schwierigkeiten seiner Familie nicht. Ebenso wenig könne die Fluchtgefahr durch Ersatzmassnahmen ausreichend ge- bannt werden. Der Beschwerdeführer bezeichne solche nicht einmal näher und biete insbesondere weder Informationen zu seiner finanziellen Situation noch eine konkrete Sicherheit an (act. 4 S. 3 f.).</w:t>
      </w:r>
    </w:p>
    <w:p>
      <w:r>
        <w:rPr>
          <w:b/>
        </w:rPr>
        <w:t>E. 5.3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w:t>
      </w:r>
    </w:p>
    <w:p>
      <w:r>
        <w:t>- 7 -</w:t>
      </w:r>
    </w:p>
    <w:p>
      <w:r>
        <w:rPr>
          <w:b/>
        </w:rPr>
        <w:t>E. 5.4</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(BGE 130 II 306 E. 2.2 f.; 111 IV 108 E. 2; Entscheid des Bundesstrafgerichts RH.2015.14 vom 9. Juli 2015 E. 4.1). Die Rechtsprechung ist hinsichtlich der Verneinung von Fluchtgefahr überaus restriktiv und misst der Erfüllung dieser staatsvertraglichen Auslieferungs- pflichten im Vergleich zu den Interessen des Verfolgten ausserordentlich grosses Gewicht bei (BGE 130 II 306 E. 2; Entscheid des Bundesstrafge- richts RH.2015.4 vom 23. Februar 2015 E. 5.2). Das Bundesgericht bejaht die Fluchtgefahr bei drohenden hohen Freiheitsstrafen in der Regel sogar dann, wenn der Betroffene über eine Niederlassungsbewilligung und famili- äre Bindungen in der Schweiz verfügt (BGE 136 IV 20 E. 2.3; Urteil des Bun- desgerichts 8G.45/2001 vom 15. August 2001 E. 3a). So wurde beispiels- weise die Möglichkeit einer Verurteilung zu einer langen Freiheitsstrafe zur Verweigerung der Haftentlassung als ausreichend betrachtet, obwohl der Verfolgte über eine Niederlassungsbewilligung verfügte, seit 18 Jahren in der Schweiz lebte, mit einer Schweizerin verheiratet und Vater zweier Kinder im Alter von 3 und 8 Jahren war und die beiden Kinder die schweizerische Na- tionalität besassen (Urteil des Bundesgerichts 8G.45/2001 vom 15. August 2001 E. 3a). Ebenso wurde Fluchtgefahr bei einem Verfolgten bejaht, der seit seinem 17. Lebensjahr seit 10 Jahren ununterbrochen in der Schweiz lebte und seine Freundin wie auch den Freundeskreis hier hatte (vgl. Ent- scheid des Bundesstrafgerichts BH.2006.4 vom 21. März 2006 E. 2.2.1).</w:t>
      </w:r>
    </w:p>
    <w:p>
      <w:r>
        <w:rPr>
          <w:b/>
        </w:rPr>
        <w:t>E. 5.5</w:t>
      </w:r>
    </w:p>
    <w:p>
      <w:r>
        <w:t>Der Beschwerdeführer weist zurecht darauf hin, dass seine Familie durch seine Auslieferungshaft mit tangiert sein könnte. Dies ist jedoch die unab- wendbare Folge seiner Verurteilung zu einer unbedingten Freiheitsstrafe. Es sind auch keine Ersatzmassnahmen ersichtlich, welche die Fluchtgefahr ausreichend bannen könnten. Andere Gründe, welche eine Auslieferung of- fensichtlich auszuschliessen oder sonst zu einer Aufhebung der Ausliefe- rungshaft zu führen vermöchten, werden weder geltend gemacht noch sind solche ersichtlich. Dies gilt insbesondere, soweit der Beschwerdeführer das Vorgehen der Guardia di Finanza und das gegen ihn in Italien geführte Ver- fahren kritisiert. Im vorliegenden Verfahrensstadium ist nicht zu entscheiden, ob diese Rüge unter dem Blickwinkel der Wahrung der Menschenrechte er- hoben werden kann. Nach dem Gesagten erweist sich die Beschwerde als unbegründet, weshalb sie abzuweisen ist.</w:t>
      </w:r>
    </w:p>
    <w:p>
      <w:r>
        <w:t>- 8 -</w:t>
      </w:r>
    </w:p>
    <w:p>
      <w:r>
        <w:rPr>
          <w:b/>
        </w:rPr>
        <w:t>E. 6</w:t>
      </w:r>
    </w:p>
    <w:p>
      <w:r>
        <w:t>Bei diesem Ausgang des Verfahrens sind die Gerichtskosten dem Be- schwerdeführer aufzuerlegen (Art. 63 Abs. 1 VwVG). Die Gerichtsgebühr ist auf Fr. 500.-- festzusetzen (vgl. Art. 63 Abs. 5 VwVG und Art. 73 StBOG sowie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