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RH.2025.10 vom 5. Juni 2025</w:t>
      </w:r>
    </w:p>
    <w:p>
      <w:r>
        <w:t>Bundesstrafgericht, 2025-06-05, DE</w:t>
      </w:r>
    </w:p>
    <w:p>
      <w:r>
        <w:rPr>
          <w:b/>
        </w:rPr>
        <w:t xml:space="preserve">Quelle: </w:t>
      </w:r>
      <w:r>
        <w:t>https://mcp.opencaselaw.ch/entscheid/bstger_RH.2025.10</w:t>
      </w:r>
    </w:p>
    <w:p>
      <w:r>
        <w:t>FR: TPF RH.2025.10 du 5 juin 2025</w:t>
      </w:r>
    </w:p>
    <w:p>
      <w:r>
        <w:t>IT: TPF RH.2025.10 del 5 giugno 2025</w:t>
      </w:r>
    </w:p>
    <w:p>
      <w:pPr>
        <w:pStyle w:val="Heading2"/>
      </w:pPr>
      <w:r>
        <w:t>Regeste</w:t>
      </w:r>
    </w:p>
    <w:p>
      <w:r>
        <w:t>Auslieferung an Bosnien und Herzegowina; Auslieferungshaftbefehl (Art. 48 Abs. 2 IRSG)</w:t>
      </w:r>
    </w:p>
    <w:p>
      <w:pPr>
        <w:pStyle w:val="Heading2"/>
      </w:pPr>
      <w:r>
        <w:t>Erwägungen</w:t>
      </w:r>
    </w:p>
    <w:p>
      <w:r>
        <w:rPr>
          <w:b/>
        </w:rPr>
        <w:t>E. 1.1</w:t>
      </w:r>
    </w:p>
    <w:p>
      <w:r>
        <w:t>Für den Auslieferungsverkehr und die Auslieferungshaft zwischen der Schweiz und Bosnien und Herzegowina sind primär das Europäische Aus- lieferungsübereinkommen vom 13. Dezember 1957 (EAUe, SR 0.353.1) so- wie das zu diesem Übereinkommen am 15. Oktober 1975 ergangene erste Zusatzprotokoll (1. ZP, SR 0.353.11), das am 17. März 1978 ergangene zweite Zusatzprotokoll (2. ZP, SR 0.353.12) und das am 10. November 2010 ergangene dritte Zusatzprotokoll (3. ZP, SR 0.353.13) massgebend.</w:t>
      </w:r>
    </w:p>
    <w:p>
      <w:r>
        <w:rPr>
          <w:b/>
        </w:rPr>
        <w:t>E. 1.2</w:t>
      </w:r>
    </w:p>
    <w:p>
      <w:r>
        <w:t>Soweit das Übereinkommen und die drei Zusatzprotokolle nichts anderes bestimmen, findet auf das Verfahren der Auslieferung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 staatliche Recht gelangt nach dem Günstigkeitsprinzip auch dann zur An- wendung, wenn es geringere Anforderungen an die Auslieferung stellt (BGE 149 IV 376 E. 2.1; 148 IV 314 E. 2.1; 147 II 432 E. 3.1; 145 IV 294</w:t>
      </w:r>
    </w:p>
    <w:p>
      <w:r>
        <w:t>- 5 -</w:t>
      </w:r>
    </w:p>
    <w:p>
      <w:r>
        <w:t>E. 2.1; jeweils m.w.H.). Vorbehalten ist die Wahrung der Menschenrechte (BGE 145 IV 294 E. 2.1; 123 II 595 E. 7c; TPF 2020 64 E. 1.1).</w:t>
      </w:r>
    </w:p>
    <w:p>
      <w:r>
        <w:rPr>
          <w:b/>
        </w:rPr>
        <w:t>E. 1.3</w:t>
      </w:r>
    </w:p>
    <w:p>
      <w:r>
        <w:t>Für das Beschwerdeverfahren gelten zudem die Art. 379-397 StPO sinnge- mäss (Art. 48 Abs. 2 i.V.m. Art. 47 IRSG) sowie die Bestimmungen des VwVG (Art. 39 Abs. 2 lit. b i.V.m. Art. 37 Abs. 2 lit. a Ziff. 1 StBOG).</w:t>
      </w:r>
    </w:p>
    <w:p>
      <w:r>
        <w:rPr>
          <w:b/>
        </w:rPr>
        <w:t>E. 2</w:t>
      </w:r>
    </w:p>
    <w:p>
      <w:r>
        <w:t>Gegen den Auslieferungshaftbefehl des BJ kann der Verfolgte innert zehn Tagen ab der schriftlichen Eröffnung Beschwerde bei der Beschwerdekam- mer des Bundesstrafgerichts führen (Art. 48 Abs. 2 IRSG). Die vorliegende Beschwerde erweist sich als fristgerecht. Die übrigen Eintretensvorausset- zungen geben keinen Anlass zu Bemerkungen. Auf die Beschwerde ist ein- zutreten.</w:t>
      </w:r>
    </w:p>
    <w:p>
      <w:r>
        <w:rPr>
          <w:b/>
        </w:rPr>
        <w:t>E. 3.1</w:t>
      </w:r>
    </w:p>
    <w:p>
      <w:r>
        <w:t>Die Beschwerdekammer ist nicht an die Begehren der Parteien gebunden (Art. 25 Abs. 6 IRSG). Sie prüft die Auslieferungshaftvoraussetzungen grundsätzlich mit freier Kognition. Die Beschwerdekammer befasst sich je- doch nur mit Tat- und Rechtsfragen, die Streitgegenstand der Beschwerde bilden (BGE 132 II 81 E. 1.4; 130 II 337 E. 1.4; Urteil des Bundesgerichts 1A.1/2009 vom 20. März 2009 E. 1.6; TPF 2011 97 E. 5; Entscheide des Bundesstrafgerichts RR.2009.2 vom 9. Juli 2009 E. 2.4; RR.2007.34 vom 29. März 2007 E. 3, je m.w.H.).</w:t>
      </w:r>
    </w:p>
    <w:p>
      <w:r>
        <w:rPr>
          <w:b/>
        </w:rPr>
        <w:t>E. 3.2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147 IV 409 E. 5.3.4; 141 IV 249 E. 1.3.1; 139 IV 179 E. 2.2; 124 II 146 E. 2a; 122 IV 8 E. 2c; Urteil des Bundesgerichts 1A.59/2004 vom 16. Juli 2004 E. 5.2, m.w.H.).</w:t>
      </w:r>
    </w:p>
    <w:p>
      <w:r>
        <w:rPr>
          <w:b/>
        </w:rPr>
        <w:t>E. 4</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w:t>
      </w:r>
    </w:p>
    <w:p>
      <w:r>
        <w:t>- 6 -</w:t>
      </w:r>
    </w:p>
    <w:p>
      <w:r>
        <w:t>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 strafgerichts RH.2018.3 vom 20. Februar 2018 E. 3.2). 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 judiciaire du Tribunal pénal fédéral, in Journal des Tribunaux 2009 IV 111 Nr. 190 und 2008 IV 66 Nr. 322 je m.w.H. auf die Rechtsprechung). 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und 2.3; 111 IV 108 E. 2; Entscheid des Bundesstrafgerichts RH.2015.14 vom 9. Ju- li 2015 E. 4.1).</w:t>
      </w:r>
    </w:p>
    <w:p>
      <w:r>
        <w:rPr>
          <w:b/>
        </w:rPr>
        <w:t>E. 5.1</w:t>
      </w:r>
    </w:p>
    <w:p>
      <w:r>
        <w:t>Gegen den Auslieferungshaftbefehl erhebt der Beschwerdeführer folgende Einwendungen (act. 1 S. 2 ff.):</w:t>
      </w:r>
    </w:p>
    <w:p>
      <w:r>
        <w:rPr>
          <w:b/>
        </w:rPr>
        <w:t>E. 5.1.1</w:t>
      </w:r>
    </w:p>
    <w:p>
      <w:r>
        <w:t>Er rügt, die verfahrensrelevanten Akten würden weitgehend fehlen. Die we- nigen Akten, welche der Verteidigung zur Verfügung gestellt worden seien, vermöchten die Behauptungen eines Tatverdachtes nicht im Geringsten zu stützen. Ohne umfassende bzw. zumindest hinreichende Aktenkenntnis sei die Beschwerde inhaltlich kaum zu begründen. Zudem stelle diese weit- gehende Aktenverweigerung eine Verletzung der Verteidigungsrechte des Beschwerdeführers dar (act. 1 S. 2).</w:t>
      </w:r>
    </w:p>
    <w:p>
      <w:r>
        <w:rPr>
          <w:b/>
        </w:rPr>
        <w:t>E. 5.1.2</w:t>
      </w:r>
    </w:p>
    <w:p>
      <w:r>
        <w:t>Er bringt weiter vor, die Sachverhaltsdarstellung im Auslieferungshaftbefehl müsse, wie in einer Anklageschrift, auf eine exakte Weise umschrieben sein, welche eine Subsumtion unter einen Straftatbestand des schweizerischen Strafgesetzbuchs möglich mache (act. 1 S. 3). In casu fehle diese exakte Umschreibung beinahe gänzlich bzw. erscheine aufgrund der fehlenden bzw. inexistenten Angaben zum inkriminierten Sachverhalt und den Tatbestands-</w:t>
      </w:r>
    </w:p>
    <w:p>
      <w:r>
        <w:t>- 7 -</w:t>
      </w:r>
    </w:p>
    <w:p>
      <w:r>
        <w:t>merkmalen eine Subsumtion unter den sinngemäss vorgeworfenen Straftat- bestand des Menschenhandels und des Betäubungsmittelhandels nicht möglich (act. 1 S. 3 f.). Der Haftbefehl erwähne als mögliches strafbares Ver- halten nur gerade, dass der Beschwerdeführer einer «Gruppierung» ange- höre sowie junge Frauen zur Prostitution «angeworben» habe. Es sei u.a. von «Ausbeutung» und «Einschüchterung» die Rede, ohne dass der Tatver- dacht bezüglich des Menschenhandels auch nur minimal begründet würde. Auch fehlten genauere Angaben zu Zeit, Tatort und zu den Umständen. Da- her fehle es bereits an einem Tatverdacht, weshalb der Haftbefehl aufzuhe- ben und der Beschwerdeführer umgehend aus der Haft zu entlassen sei. Der Beschwerdeführer bestreite sämtliche gegen ihn erhobenen Vorwürfe. Es bestehe daher keine Grundlage, ihn in Auslieferungshaft zu nehmen, ge- schweige denn, ihn an Bosnien und Herzegowina auszuliefern (act. 1 S. 4).</w:t>
      </w:r>
    </w:p>
    <w:p>
      <w:r>
        <w:rPr>
          <w:b/>
        </w:rPr>
        <w:t>E. 5.1.3</w:t>
      </w:r>
    </w:p>
    <w:p>
      <w:r>
        <w:t>Der Beschwerdeführer macht sodann geltend, dass er sich bereits seit drei Jahren in Haft befinde, zuerst in Auslieferungshaft und seit Dezember 2022 in Untersuchungshaft. Das in der Schweiz gegen ihn geführte Verfahren habe sehr umfangreiche Beweiserhebungen generiert und stehe unmittelbar vor dem Abschluss. Er habe Anspruch auf Verfahrenserledigung (act. 1 S. 2). Die sehr umfangreichen Beweiserhebungen könnten von einem bos- nischen Gericht nicht übernommen werden und würden auch nicht übernom- men (act. 1 S. 2 f.). Es sei ausgeschlossen, dass sämtliche Akten ins Bos- nisch-Serbische übersetzt würden, was einer Verletzung des Ordre Public gleich komme (act. 1 S. 3). Falls die bosnische Verfahrensleitung die Über- setzungen bewilligen werde, seien erhebliche Fehlermengen in den Über- setzungen die Folge, was zum Nachteil des Beschwerdeführers ginge. Er sei seit drei Jahren und damit bereits zu lange in Haft. Wenn er weiter in Bosnien in Haft sei, käme dies einer Verletzung der Unschuldsvermutung gleich. All diese Mängel würden deutlich machen, dass das bosnische Verfahren für ihn nur mit Mängeln behaftet wäre. Eine Auslieferung dürfe nicht erfolgen, wenn das ausländische Verfahren schwere Mängel im Sinne von Art. 2 lit. d IRSG aufweise (act. 1 S. 3).</w:t>
      </w:r>
    </w:p>
    <w:p>
      <w:r>
        <w:rPr>
          <w:b/>
        </w:rPr>
        <w:t>E. 5.2</w:t>
      </w:r>
    </w:p>
    <w:p>
      <w:r>
        <w:t>Gemäss Art. 16 Ziff. 2 EAUe ist im Ersuchen um vorläufige Verhaftung an- zuführen, dass eine der in Art. 12 Ziff. 2 lit. a EAUe erwähnten Urkunden vorhanden ist und die Absicht besteht, ein Auslieferungsersuchen zu stellen; ferner sind darin die strafbare Handlung, derentwegen um Auslieferung er- sucht werden wird, Zeit und Ort ihrer Begehung und, soweit möglich, die Be- schreibung der gesuchten Person anzugeben. Bei der in Art. 12 Ziff. 2 lit. a EAUe erwähnten Urkunde handelt es sich um die Urschrift oder eine beglau- bigte Abschrift eines vollstreckbaren verurteilenden Erkenntnisses, eines Haftbefehls oder jeder anderen, nach den Formvorschriften des ersuchen- den Staates ausgestellten Urkunde mit gleicher Rechtswirkung.</w:t>
      </w:r>
    </w:p>
    <w:p>
      <w:r>
        <w:t>- 8 -</w:t>
      </w:r>
    </w:p>
    <w:p>
      <w:r>
        <w:t>Unter dem Gesichtspunkt des hier massgebenden EAUe reicht es in der Re- gel aus, wenn die Angaben im Rechtshilfeersuchen und in dessen Beilagen es den schweizerischen Behörden ermöglichen zu prüfen, ob ausreichende Anhaltspunkte für eine auslieferungsfähige Straftat vorliegen, ob Verweige- rungsgründe gegeben sind bzw. in welchem Umfang dem Begehren allen- falls entsprochen werden muss. Der Rechtshilferichter muss namentlich prü- fen können, ob die Voraussetzung der beidseitigen Strafbarkeit nach Art. 2 Ziff. 1 EAUe erfüllt ist. Es kann hingegen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 tet wird (BGE 139 II 404 E. 9.5 S. 436; 139 II 451 E. 2.2.1 S. 454 f.; 133 IV 76 E. 2.2 S. 79; 132 II 81 E. 2.1 S. 85; 125 II 250 E. 5b S. 257; je mit Hinweisen; TPF 2012 114 E. 7.2).</w:t>
      </w:r>
    </w:p>
    <w:p>
      <w:r>
        <w:rPr>
          <w:b/>
        </w:rPr>
        <w:t>E. 5.3</w:t>
      </w:r>
    </w:p>
    <w:p>
      <w:r>
        <w:t>Dem Auslieferungsersuchen des Justizministeriums von Bosnien und Her- zegowina vom 26. Februar 2025 sind das Auslieferungsersuchen der Staats- anwaltschaft von Bosnien und Herzegowina vom 19. Februar 2025 und der Haftbefehl des Gerichtshofs von Bosnien und Herzegowina vom 18. Febru- ar 2025 angefügt, welcher gegen den Beschwerdeführer wegen organisier- ter Kriminalität, internationalen Menschenhandels, internationaler Zuführung zur Prostitution, Geldwäscherei und des unerlaubten Handels mit Betäu- bungsmitteln nach dem Strafgesetzbuch von Bosnien Herzegowina ausge- stellt wurde (act. 3.1). Im 18-seitigen Haftbefehl des bosnischen Gerichtshofs wird dem Beschwer- deführer kurz zusammengefasst vorgeworfen, er habe zusammen mit sei- nem Bruder eine international agierende Gruppe geführt, welche in Bosnien und Herzegowina und in weiteren Ländern, darunter die Schweiz, seit 2013 Menschenhandel und seit 2019 Betäubungsmittelhandel betrieben habe. Im Haftbefehl wurden über 20 Gruppenmitglieder namentlich genannt und de- ren modus operandi dargestellt. Die Drogenabnehmer wurden unter ande- rem mit Initialen aufgeführt; die jungen Frauen, darunter Minderjährige, wel- che auf äusserst grausame und unmenschliche Weise sexuell ausgebeutet worden seien, wurden nicht einzeln aufgeführt. Die kriminelle Gruppierung habe einen Teil des von den Frauen erwirtschafteten Geldes für sich behal- ten und einen Teil in andere kriminelle Geschäfte investiert oder in den lega- len Wirtschaftskreislauf eingeschleust. In der Beschwerdeantwort führte das BJ aus, dass die dem Auslieferungser- suchen zugrundeliegenden Sachverhalte prima facie unter Art. 182 StGB</w:t>
      </w:r>
    </w:p>
    <w:p>
      <w:r>
        <w:t>- 9 -</w:t>
      </w:r>
    </w:p>
    <w:p>
      <w:r>
        <w:t>(Menschenhandel), Art. 195 StGB (Förderung der Prostitution) und Art. 305bis StGB (Geldwäscherei) sowie Art. 19 BetmG subsumiert werden können.</w:t>
      </w:r>
    </w:p>
    <w:p>
      <w:r>
        <w:rPr>
          <w:b/>
        </w:rPr>
        <w:t>E. 5.4</w:t>
      </w:r>
    </w:p>
    <w:p>
      <w:r>
        <w:t>Der Beschwerdeführer legt nicht dar und es ist auch nicht ersichtlich, inwie- fern das Ersuchen der bosnischen Behörden den formellen Anforderungen von Art. 16 Ziff. 2 EAUe (s. supra E. 5.2) nicht genügen sollte, enthält dieses doch bereits sowohl den Haftbefehl als auch das formelle Auslieferungser- suchen und geht somit in mehrfacher Hinsicht über die Voraussetzungen von Art. 16 Ziff. 2 EAUe hinaus. Dass die Umschreibung der strafbaren Handlun- gen, derentwegen um Auslieferung ersucht werden wird, nicht den ausliefe- rungshaftrechtlichen Anforderungen (s. supra E. 4) genügen würde, macht der Beschwerdeführer gerade nicht geltend. Die vom Beschwerdeführer er- hobenen Einwendungen gegen die Sachverhaltsdarstellung, doppelte Straf- barkeit und das bosnische Strafverfahren beziehen sich auf die betreffenden Auslieferungsvoraussetzungen. Der Beschwerdeführer zeigt mit seiner Kritik keine Gründe auf, welche seine Auslieferung ohne jeden Zweifel und ohne weitere Abklärungen als offensichtlich unzulässig erscheinen lassen (s. su- pra E. 4). Namentlich legt er nicht dar, inwiefern die prima facie Würdigung des BJ offensichtlich nicht zutreffen sollte. Dem Beschwerdeführer wurde anlässlich seiner Einvernahme vom 2. Mai 2025 eine Kopie des bosnischen Auslieferungsersuchens samt Ergänzung und Beilagen sowie der Ausliefe- rungshaftbefehl ausgehändigt (act. 3.12 S. 4). Dem Beschwerdeführer wur- den somit vorliegend sämtliche für den Auslieferungshaftbefehl wesentlichen Akten zugänglich gemacht. Es sind keine dem Beschwerdeführer vorenthal- tenen Aktenbestandteile ersichtlich, die im Hinblick auf den Auslieferungs- haftbefehl erheblich gewesen wären. Von einer Gehörsverletzung kann keine Rede sein.</w:t>
      </w:r>
    </w:p>
    <w:p>
      <w:r>
        <w:rPr>
          <w:b/>
        </w:rPr>
        <w:t>E. 5.5</w:t>
      </w:r>
    </w:p>
    <w:p>
      <w:r>
        <w:t>Nach dem Gesagten erweist sich die Beschwerde in allen Punkten als unbe- gründet.</w:t>
      </w:r>
    </w:p>
    <w:p>
      <w:r>
        <w:rPr>
          <w:b/>
        </w:rPr>
        <w:t>E. 6</w:t>
      </w:r>
    </w:p>
    <w:p>
      <w:r>
        <w:t>Andere Gründe, welche zu einer Aufhebung der Auslieferungshaft zu führen vermöchten, werden nicht geltend gemacht und sind auch nicht ersichtlich. Die Beschwerde ist damit abzuweisen.</w:t>
      </w:r>
    </w:p>
    <w:p>
      <w:r>
        <w:rPr>
          <w:b/>
        </w:rPr>
        <w:t>E. 7</w:t>
      </w:r>
    </w:p>
    <w:p>
      <w:r>
        <w:t>Bei diesem Ausgang des Verfahrens sind die Gerichtskosten dem Be- schwerdeführer aufzuerlegen (vgl. Art. 63 Abs. 1 VwVG). Die Gerichtsgebühr ist auf Fr. 2'000.– festzusetzen (vgl. Art. 63 Abs. 5 VwVG und Art. 73 StBOG sowie Art. 5 und Art. 8 Abs. 3 lit. a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