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RH.2024.7 vom 3. Juni 2024</w:t>
      </w:r>
    </w:p>
    <w:p>
      <w:r>
        <w:t>Bundesstrafgericht, 2024-06-03, FR</w:t>
      </w:r>
    </w:p>
    <w:p>
      <w:r>
        <w:rPr>
          <w:b/>
        </w:rPr>
        <w:t xml:space="preserve">Quelle: </w:t>
      </w:r>
      <w:r>
        <w:t>https://mcp.opencaselaw.ch/entscheid/bstger_RH.2024.7</w:t>
      </w:r>
    </w:p>
    <w:p>
      <w:r>
        <w:t>FR: TPF RH.2024.7 du 3 juin 2024</w:t>
      </w:r>
    </w:p>
    <w:p>
      <w:r>
        <w:t>IT: TPF RH.2024.7 del 3 giugno 2024</w:t>
      </w:r>
    </w:p>
    <w:p>
      <w:pPr>
        <w:pStyle w:val="Heading2"/>
      </w:pPr>
      <w:r>
        <w:t>Regeste</w:t>
      </w:r>
    </w:p>
    <w:p>
      <w:r>
        <w:t>Extradition à la France; mandat d'arrêt en vue d'extradition (art. 48 al. 2 EIMP)</w:t>
      </w:r>
    </w:p>
    <w:p>
      <w:pPr>
        <w:pStyle w:val="Heading2"/>
      </w:pPr>
      <w:r>
        <w:t>Volltext</w:t>
      </w:r>
    </w:p>
    <w:p>
      <w:r>
        <w:t>Arrêt du 3 juin 2024 Cour des plaintes Composition</w:t>
      </w:r>
    </w:p>
    <w:p>
      <w:r>
        <w:t>Les juges pénaux fédéraux Roy Garré, président, Patrick Robert-Nicoud et Nathalie Zufferey, la greffière Marine Neukomm</w:t>
      </w:r>
    </w:p>
    <w:p>
      <w:r>
        <w:t>Parties</w:t>
      </w:r>
    </w:p>
    <w:p>
      <w:r>
        <w:t>A., actuellement détenu, recourant</w:t>
      </w:r>
    </w:p>
    <w:p>
      <w:r>
        <w:t>contre</w:t>
      </w:r>
    </w:p>
    <w:p>
      <w:r>
        <w:t>OFFICE FÉDÉRAL DE LA JUSTICE, UNITÉ EXTRADITIONS,</w:t>
      </w:r>
    </w:p>
    <w:p>
      <w:r>
        <w:t>Objet</w:t>
      </w:r>
    </w:p>
    <w:p>
      <w:r>
        <w:t>Extradition à la France</w:t>
      </w:r>
    </w:p>
    <w:p>
      <w:r>
        <w:t>Mandat d'arrêt en vue d'extradition (art. 48 al. 2 EIMP)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Numéro de dossier: RH.2024.7</w:t>
      </w:r>
    </w:p>
    <w:p>
      <w:r>
        <w:t>- 2 -</w:t>
      </w:r>
    </w:p>
    <w:p>
      <w:r>
        <w:t>La Cour des plaintes, vu:</w:t>
      </w:r>
    </w:p>
    <w:p>
      <w:r>
        <w:t>- la condamnation de A. à une peine de quatre ans de prison pour trafic d’armes, prononcée le 28 juin 2023 par le Tribunal correctionnel de Rennes,</w:t>
      </w:r>
    </w:p>
    <w:p>
      <w:r>
        <w:t>- le signalement international en vue d’arrestation aux fins d’extradition par le bureau SIRENE France du 21 juillet 2023 dont A. fait l’objet,</w:t>
      </w:r>
    </w:p>
    <w:p>
      <w:r>
        <w:t>- l’arrestation de A.,</w:t>
      </w:r>
    </w:p>
    <w:p>
      <w:r>
        <w:t>- le mandat d’arrêt en vue d’extradition du 10 mai 2024 émis par l’Office fédéral de la justice (ci-après: OFJ) à l’encontre de A.,</w:t>
      </w:r>
    </w:p>
    <w:p>
      <w:r>
        <w:t>- le recours formé par A. le 22 mai 2024 contre le mandat d’arrêt précité,</w:t>
      </w:r>
    </w:p>
    <w:p>
      <w:r>
        <w:t>et considérant: - que les procédures d'extradition entre la Confédération suisse et la République française sont prioritairement régies par la Convention européenne d'extradition du 13 décembre 1957 (CEExtr; RS 0.353.1), par l'Accord du 10 février 2003 entre le Conseil fédéral suisse et le Gouvernement de la République française relatif à la procédure simplifiée d'extradition et complétant la CEExtr (RS 0.353.934.92) et par les art. 59 à 66 de la Convention d'application de l'Accord Schengen du 14 juin 1985 (CAAS; n° CELEX 42000A0922(02); Journal officiel de l'Union européenne L 239 du 22 septembre 2000, p. 19 à 62);</w:t>
      </w:r>
    </w:p>
    <w:p>
      <w:r>
        <w:t>- que la loi fédérale sur l'entraide internationale en matière pénale (EIMP; RS 351.1) et son ordonnance d'exécution (OEIMP; RS 351.11) règlent les questions qui ne sont pas régies, explicitement ou implicitement, par les traités (ATF 130 II 337 consid. 1; 128 II 355 consid. 1 et la jurisprudence citée);</w:t>
      </w:r>
    </w:p>
    <w:p>
      <w:r>
        <w:t>- qu’en vertu de l'art. 37 al. 2 let. a ch 1 de la loi fédérale sur l'organisation des autorités pénales de la Confédération (LOAP; RS 173.71), mis en relation avec l'art. 48 al. 2 EIMP, la Cour des plaintes du Tribunal pénal fédéral est compétente pour connaître des recours dirigés contre les mandats d'arrêts à titre extraditionnel;</w:t>
      </w:r>
    </w:p>
    <w:p>
      <w:r>
        <w:t>- qu’aux termes de l’art. 47 EIMP, l’OFJ décerne un mandat aux fins d’extradition mais peut y renoncer s’il apparaît que la personne poursuivie ne se soustraira pas à l’extradition et n’entravera pas l’instruction (al. 1, let. a.) ou si un alibi peut être fourni sans délai (al. 1, let. b);</w:t>
      </w:r>
    </w:p>
    <w:p>
      <w:r>
        <w:t>- 3 -</w:t>
      </w:r>
    </w:p>
    <w:p>
      <w:r>
        <w:t>- que, selon l’art. 47 al. 2 EIMP, si la personne poursuivie ne peut subir l’incarcération ou si d’autres motifs le justifient, l’OFJ peut, à titre de sûreté, substituer d’autres mesures à l’arrestation;</w:t>
      </w:r>
    </w:p>
    <w:p>
      <w:r>
        <w:t>- que dans son recours, le recourant s’oppose à son extradition vers la France au motif qu’il craint pour sa vie et celle de sa famille;</w:t>
      </w:r>
    </w:p>
    <w:p>
      <w:r>
        <w:t>- que l’extradition n’a pas été décidée dans l’acte attaqué mais sera l’objet, le cas échéant, d’une décision ultérieure;</w:t>
      </w:r>
    </w:p>
    <w:p>
      <w:r>
        <w:t>- que le recourant ne se prévaut d’aucun motif figurant à l’art. 47 EIMP qui s’opposerait à son arrestation;</w:t>
      </w:r>
    </w:p>
    <w:p>
      <w:r>
        <w:t>- que, dans ces conditions, le recours doit être déclaré manifestement mal fondé dans la mesure où il est recevable, sans qu’il y ait lieu de procéder à un échange d’écritures (art. 57 al. 1 a contrario de la loi sur la procédure administrative [PA, RS 172.021], applicable par renvoi de l'art. 39 al. 2 let. b LOAP);</w:t>
      </w:r>
    </w:p>
    <w:p>
      <w:r>
        <w:t>- que, compte tenu des circonstances, il y a lieu de renoncer à percevoir des frais de justice (art. 63 al. 1 PA).</w:t>
      </w:r>
    </w:p>
    <w:p>
      <w:r>
        <w:t>- 4 -</w:t>
      </w:r>
    </w:p>
    <w:p>
      <w:r>
        <w:t>Par ces motifs, la Cour des plaintes prononce:</w:t>
      </w:r>
    </w:p>
    <w:p>
      <w:r>
        <w:t>1. Le recours est rejeté dans la mesure où il est recevable.</w:t>
      </w:r>
    </w:p>
    <w:p>
      <w:r>
        <w:t>2. Il est statué sans frais.</w:t>
      </w:r>
    </w:p>
    <w:p>
      <w:r>
        <w:t>Bellinzone, le 3 juin 2024</w:t>
      </w:r>
    </w:p>
    <w:p>
      <w:r>
        <w:t>Au nom de la Cour des plaintes du Tribunal pénal fédéral</w:t>
      </w:r>
    </w:p>
    <w:p>
      <w:r>
        <w:t>Le président: La greffière:</w:t>
      </w:r>
    </w:p>
    <w:p>
      <w:r>
        <w:t>Distribution</w:t>
      </w:r>
    </w:p>
    <w:p>
      <w:r>
        <w:t>- A. - Office fédéral de la justice, Unité extraditions</w:t>
      </w:r>
    </w:p>
    <w:p>
      <w:r>
        <w:t>Indication des voies de recours En matière d’entraide pénale internationale, les autres décisions préjudicielles et incidentes notifiées séparément ne peuvent faire l’objet d’un recours. C’est sous réserve des décisions relatives à la détention extraditionnelle ou à la saisie d’objets et de valeurs, si elles peuvent causer un préjudice irréparable ou si l’admission du recours peut conduire immédiatement à une décision finale qui permet d’éviter une procédure probatoire longue et coûteuse (cf. art. 93 al. 1 et 2 LTF). Si le recours contre les décisions préjudicielles et incidentes n’est pas ouvert au sens de l’art. 93 al. 1 et 2 LTF ou qu’il n’est pas utilisé, ces décisions peuvent être attaquées par un recours contre la décision finale dans la mesure où elles influent sur le contenu de celle-ci (cf. art. 93 al. 3 LTF).</w:t>
      </w:r>
    </w:p>
    <w:p>
      <w:r>
        <w:t>Le recours n’est recevable contre une décision rendue en matière d’entraide pénale internationale que s’il constitue un cas particulièrement important (cf. art. 84 al. 1 LTF). Un cas est particulièrement important notamment lorsqu’il y a des raisons de supposer que la procédure à l’étranger viole des principes fondamentaux ou comporte d’autres vices graves (art. 84 al. 2 LTF).</w:t>
      </w:r>
    </w:p>
    <w:p>
      <w:r>
        <w:t>Le recours doit être déposé devant le Tribunal fédéral dans les 10 jours qui suivent la notification de l’expédition complète (cf. art. 100 al. 1 et 2 let. b LTF). Les mémoires doivent être remis au plus tard le dernier jour du délai, soit au Tribunal fédéral soit, à l’attention de ce dernier, à La Poste Suisse ou à une représentation diplomatique ou consulaire suisse (art. 48 al. 1 LTF). En cas de transmission électronique, le moment déterminant pour l’observation d’un délai est celui où est établi l’accusé de réception qui confirme que la partie a accompli toutes les étapes nécessaires à la transmission (art. 48 al. 2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