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RH.2024.4 vom 29. Mai 2024</w:t>
      </w:r>
    </w:p>
    <w:p>
      <w:r>
        <w:t>Bundesstrafgericht, 2024-05-29, DE</w:t>
      </w:r>
    </w:p>
    <w:p>
      <w:r>
        <w:rPr>
          <w:b/>
        </w:rPr>
        <w:t xml:space="preserve">Quelle: </w:t>
      </w:r>
      <w:r>
        <w:t>https://mcp.opencaselaw.ch/entscheid/bstger_RH.2024.4</w:t>
      </w:r>
    </w:p>
    <w:p>
      <w:r>
        <w:t>FR: TPF RH.2024.4 du 29 mai 2024</w:t>
      </w:r>
    </w:p>
    <w:p>
      <w:r>
        <w:t>IT: TPF RH.2024.4 del 29 maggio 2024</w:t>
      </w:r>
    </w:p>
    <w:p>
      <w:pPr>
        <w:pStyle w:val="Heading2"/>
      </w:pPr>
      <w:r>
        <w:t>Regeste</w:t>
      </w:r>
    </w:p>
    <w:p>
      <w:r>
        <w:t>Auslieferungshaftbefehl (Art. 48 Abs. 2 IRSG)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Wird eine Beschwerde zurückgezogen, ist das diesbezügliche Verfahren als erledigt vom Geschäftsverzeichnis abzuschreiben.</w:t>
      </w:r>
    </w:p>
    <w:p>
      <w:r>
        <w:rPr>
          <w:b/>
        </w:rPr>
        <w:t>E. 2.1</w:t>
      </w:r>
    </w:p>
    <w:p>
      <w:r>
        <w:t>Die Kosten des Beschwerdeverfahrens hat in der Regel die Partei zu bezah- len, die unterliegt (Art. 63 Abs. 1 VwVG i.V.m. Art. 39 Abs 2 lit. b und Art. 37 Abs. 2 lit. a StBOG).</w:t>
      </w:r>
    </w:p>
    <w:p>
      <w:r>
        <w:rPr>
          <w:b/>
        </w:rPr>
        <w:t>E. 2.2</w:t>
      </w:r>
    </w:p>
    <w:p>
      <w:r>
        <w:t>Der Beschwerdeführer, der seine Beschwerde zurückzieht, gilt grundsätzlich als unterliegende Partei (vgl. z.B. Beschluss des Bundesstrafgerichts</w:t>
      </w:r>
    </w:p>
    <w:p>
      <w:r>
        <w:t>- 3 -</w:t>
      </w:r>
    </w:p>
    <w:p>
      <w:r>
        <w:t>RH.2024.1 vom 7. Februar 2024). Für die Berechnung der Gerichtsgebühren gelangt das Kostenreglement des Bundesstrafgerichts vom 31. August 2010 (BStKR; SR 173.713.162) zur Anwendung. Unter Berücksichtigung aller Um- stände und des relativ geringen Kanzleiaufwands ist die Gerichtsgebühr vor- liegend auf Fr. 300.-- festzusetzen (Art. 5 und Art. 8 Abs. 3 lit. a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