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RH.2023.6 vom 21. April 2023</w:t>
      </w:r>
    </w:p>
    <w:p>
      <w:r>
        <w:t>Bundesstrafgericht, 2023-04-21, DE</w:t>
      </w:r>
    </w:p>
    <w:p>
      <w:r>
        <w:rPr>
          <w:b/>
        </w:rPr>
        <w:t xml:space="preserve">Quelle: </w:t>
      </w:r>
      <w:r>
        <w:t>https://mcp.opencaselaw.ch/entscheid/bstger_RH.2023.6</w:t>
      </w:r>
    </w:p>
    <w:p>
      <w:r>
        <w:t>FR: TPF RH.2023.6 du 21 avril 2023</w:t>
      </w:r>
    </w:p>
    <w:p>
      <w:r>
        <w:t>IT: TPF RH.2023.6 del 21 aprile 2023</w:t>
      </w:r>
    </w:p>
    <w:p>
      <w:pPr>
        <w:pStyle w:val="Heading2"/>
      </w:pPr>
      <w:r>
        <w:t>Regeste</w:t>
      </w:r>
    </w:p>
    <w:p>
      <w:r>
        <w:t>Auslieferung an Italien; Auslieferungshaftbefehl (Art. 48 Abs. 2 IRSG); unentgeltliche Rechtspflege (Art. 65 VwVG)</w:t>
      </w:r>
    </w:p>
    <w:p>
      <w:pPr>
        <w:pStyle w:val="Heading2"/>
      </w:pPr>
      <w:r>
        <w:t>Erwägungen</w:t>
      </w:r>
    </w:p>
    <w:p>
      <w:r>
        <w:rPr>
          <w:b/>
        </w:rPr>
        <w:t>E. 1.1</w:t>
      </w:r>
    </w:p>
    <w:p>
      <w:r>
        <w:t>Für den Auslieferungsverkehr zwischen der Schweiz und Italien sind primär massgebend das Europäische Auslieferungsübereinkommen vom 13. De- zember 1957 (EAUe; SR 0.353.1) sowie die zu diesem Übereinkommen er- gangenen Zusatzprotokolle vom 17. März 1978 (ZPII EAUe; SR 0.353.12), 10. November 2010 (ZPIII EAUe; SR 0.353.13) und 20. September 2012 (ZPIV EAUe; SR 0.353.14). Überdies anwendbar sind das Übereinkommen vom 19. Juni 1990 zur Durchführung des Übereinkommens von Schengen vom 14. Juni 1985 (Schengener Durchführungsübereinkommen [SDÜ]; CELEX-Nr. 42000A0922(02); Abl. L 239 vom 22. September 2000, S. 19– 62; Text nicht publiziert in der SR, jedoch abrufbar auf der Website der Schweizerischen Eidgenossenschaft unter «Rechtssammlung zu den sekto- riellen Abkommen mit der EU», 8.1 Anhang A; https://www.fedlex.ad- min.ch/de/sector-specific-agreements/EU-acts-register/8) i.V.m. dem Be- schluss des Rates 2007/533/JI vom 12. Juni 2007 über die Einrichtung, den Betrieb und die Nutzung des Schengener Informationssystems der zweiten Generation (SIS II), namentlich Art. 26–31 (CELEX-Nr. 32007D0533; Abl. L 205 vom 7. August 2007, S. 63–84; abrufbar unter «Rechtssammlung zu den sektoriellen Abkommen mit der EU», 8.4 Weiterentwicklungen des Schen- gen-Besitzstands), sowie diejenigen Bestimmungen des Übereinkommens vom 27. September 1996 über die Auslieferung zwischen den Mitgliedstaa- ten der Europäischen Union (EU-Auslieferungsübereinkommen; CELEX-Nr. 41996A1023(02); Abl. C 313 vom 23. Oktober 1996, S. 12–23), welche ge- mäss dem Beschluss des Rates 2003/169/JI vom 27. Februar 2003 (CELEX- Nr. 32003D0169; Abl. L 67 vom 12. März 2003, S. 25 f.; abrufbar unter «Rechtssammlung zu den sektoriellen Abkommen mit der EU», 8.2 Anhang B) eine Weiterentwicklung des Schengen-Besitzstands darstellen. Die zwi- schen den Vertragsparteien geltenden weitergehenden Bestimmungen auf- grund bilateraler oder multilateraler Abkommen bleiben unberührt (Art. 59 Abs. 2 SDÜ; Art. 1 Abs. 2 EU-Auslieferungsübereinkommen).</w:t>
      </w:r>
    </w:p>
    <w:p>
      <w:r>
        <w:rPr>
          <w:b/>
        </w:rPr>
        <w:t>E. 1.2</w:t>
      </w:r>
    </w:p>
    <w:p>
      <w:r>
        <w:t>Soweit diese Staatsverträge bestimmte Fragen nicht abschliessend regeln, finden das Bundesgesetz vom 20. März 1981 (Rechtshilfegesetz, IRSG; SR 351.1) und die Verordnung vom 24. Februar 1982 über internationale</w:t>
      </w:r>
    </w:p>
    <w:p>
      <w:r>
        <w:t>- 4 -</w:t>
      </w:r>
    </w:p>
    <w:p>
      <w:r>
        <w:t>Rechtshilfe in Strafsachen (Rechtshilfeverordnung, IRSV; SR 351.11) An- wendung. Das innerstaatliche Recht gelangt nach dem Günstigkeitsprinzip auch dann zur Anwendung, wenn es geringere Anforderungen an die Rechtshilfe stellt (BGE 147 II 432 E. 3.1; 145 IV 294 E. 2.1; 142 IV 250 E. 3).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w:t>
      </w:r>
    </w:p>
    <w:p>
      <w:r>
        <w:rPr>
          <w:b/>
        </w:rPr>
        <w:t>E. 2.2</w:t>
      </w:r>
    </w:p>
    <w:p>
      <w:r>
        <w:t>Die vorliegende Beschwerde erweist sich als form- und fristgerecht. Die üb- rigen Eintretensvoraussetzungen geben keinen Anlass zu Bemerkungen. Auf die Beschwerde ist einzutreten.</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w:t>
      </w:r>
    </w:p>
    <w:p>
      <w:r>
        <w:t>- 5 -</w:t>
      </w:r>
    </w:p>
    <w:p>
      <w:r>
        <w:rPr>
          <w:b/>
        </w:rPr>
        <w:t>E. 4</w:t>
      </w:r>
    </w:p>
    <w:p>
      <w:r>
        <w:t>Der Beschwerdeführer macht geltend, bei ihm handle es sich nicht um die gesuchte Person. Er könne somit ohne Verzug nachweisen, dass er zur Zeit der Tat nicht am Tatort gewesen sei.</w:t>
      </w:r>
    </w:p>
    <w:p>
      <w:r>
        <w:rPr>
          <w:b/>
        </w:rPr>
        <w:t>E. 5.1</w:t>
      </w:r>
    </w:p>
    <w:p>
      <w:r>
        <w:t>Gemäss Art. 47 Abs. 1 lit. b IRSG kann vom Erlass eines Auslieferungshaft- befehls abgesehen werden, wenn der Verfolgte ohne Verzug nachweisen kann, dass er zur Zeit der Tat nicht am Tatort war. Nach der Rechtsprechung ist es nicht Sache der schweizerischen Behörden, Nachforschungen zu ma- chen oder machen zu lassen. Wenn diesbezügliche Zweifel nicht ausge- schlossen werden können, ist das Alibi nicht ohne Verzug im Sinne von Art. 47 Abs. 1 lit. b IRSG nachgewiesen (BGE 123 II 279 E. 2b; Urteil des Bundesgerichts 1C_301/2012 vom 14. Juni 2012 E. 1.2; vgl. LUDWICZAK GLASSEY, Entraide judiciaire internationale en matière pénale, 2018, N. 812 ff.; ZIMMERMANN, La coopération judiciaire internationale en matière pénale, 5. Aufl. 2019, N. 674 f.).</w:t>
      </w:r>
    </w:p>
    <w:p>
      <w:r>
        <w:rPr>
          <w:b/>
        </w:rPr>
        <w:t>E. 5.2</w:t>
      </w:r>
    </w:p>
    <w:p>
      <w:r>
        <w:t>Der Beschwerdeführer stützt sein Vorbringen, mit A. nicht identisch zu sein, auf die eingereichte Kopie des Antrags der Staatsanwaltschaft des Kantons Solothurn auf Anordnung von Untersuchungshaft vom 4. Februar 2023 lau- tend gegen B., geb. […] (act. 1.3), sowie auf die eingereichten Einvernah- meprotokolle vom 24. März 2023 (act. 1.4). Daraus geht offensichtlich nicht zweifelsfrei hervor, dass der Beschwerdeführer mit A. nicht identisch ist. Auf- grund der vorliegenden Akten liegt vielmehr nahe, dass der Beschwerdefüh- rer mehrere Namen verwendet. Gemäss E-Mail vom 24. März 2023 des Sachbearbeiters der Polizei Kanton Solothurn, der die Einvernahme vom 24. März 2023 durchführte, zeige das Foto, welches der italienischen SIS- Ausschreibung beilag, klar den Beschwerdeführer (act. 3.3a). Im inzwischen eingegangenen formellen Auslieferungsersuchen des italienischen Justizmi- nisteriums vom 29. März 2023 wird das Alias B., geb. […], erwähnt, ebenso in den europäischen Haftbefehlen vom 6. März 2023 (act. 3.5). Der Nach- weis, zur fraglichen Zeit nicht am Tatort gewesen zu sein, ist offenkundig nicht erbracht.</w:t>
      </w:r>
    </w:p>
    <w:p>
      <w:r>
        <w:rPr>
          <w:b/>
        </w:rPr>
        <w:t>E. 6</w:t>
      </w:r>
    </w:p>
    <w:p>
      <w:r>
        <w:t>Andere Gründe, welche eine Auslieferung offensichtlich ausschliessen oder sonst zu einer Aufhebung der Auslieferungshaft zu führen vermöchten, wer- den weder geltend gemacht noch sind solche ersichtlich. Die Beschwerde erweist sich nach dem Gesagten als unbegründet. Sie ist abzuweisen.</w:t>
      </w:r>
    </w:p>
    <w:p>
      <w:r>
        <w:t>- 6 -</w:t>
      </w:r>
    </w:p>
    <w:p>
      <w:r>
        <w:rPr>
          <w:b/>
        </w:rPr>
        <w:t>E. 7.1</w:t>
      </w:r>
    </w:p>
    <w:p>
      <w:r>
        <w:t>Der Beschwerdeführer ersucht um unentgeltliche Rechtspflege (RP.2023.14, act. 1 und 3).</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 (Art. 65 Abs. 2 VwVG). Diese Regelung ist Ausfluss von Art. 29 Abs. 3 BV. 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7.3</w:t>
      </w:r>
    </w:p>
    <w:p>
      <w:r>
        <w:t>Vorliegend erweist sich die Beschwerde als offensichtlich aussichtslos im Sinne von Art. 65 Abs. 1 VwVG. Demzufolge ist das Gesuch des Beschwer- deführers um unentgeltliche Rechtspflege ohne Überprüfung seiner finanzi- ellen Situation abzuweisen. Bei der Festsetzung der Gerichtsgebühr kann der womöglich schwierigen finanziellen Situation des Beschwerdeführers Rechnung getragen werden.</w:t>
      </w:r>
    </w:p>
    <w:p>
      <w:r>
        <w:rPr>
          <w:b/>
        </w:rPr>
        <w:t>E. 8</w:t>
      </w:r>
    </w:p>
    <w:p>
      <w:r>
        <w:t>Bei diesem Ausgang des Verfahrens sind die Gerichtskosten dem Be- schwerdeführer aufzuerlegen (vgl. Art. 63 Abs. 1 VwVG). Die reduzierte Ge- richtsgebühr ist auf Fr. 1'000.-- festzusetzen (vgl. Art. 63 Abs. 5 VwVG und Art. 73 StBOG sowie Art. 5 und Art. 8 Abs. 3 lit. a des Reglements des Bun- desstrafgerichts vom 31. August 2010 über die Kosten, Gebühren und Ent- 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