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RH.2023.5 vom 28. März 2023</w:t>
      </w:r>
    </w:p>
    <w:p>
      <w:r>
        <w:t>Bundesstrafgericht, 2023-03-28, DE</w:t>
      </w:r>
    </w:p>
    <w:p>
      <w:r>
        <w:rPr>
          <w:b/>
        </w:rPr>
        <w:t xml:space="preserve">Quelle: </w:t>
      </w:r>
      <w:r>
        <w:t>https://mcp.opencaselaw.ch/entscheid/bstger_RH.2023.5</w:t>
      </w:r>
    </w:p>
    <w:p>
      <w:r>
        <w:t>FR: TPF RH.2023.5 du 28 mars 2023</w:t>
      </w:r>
    </w:p>
    <w:p>
      <w:r>
        <w:t>IT: TPF RH.2023.5 del 28 marzo 2023</w:t>
      </w:r>
    </w:p>
    <w:p>
      <w:pPr>
        <w:pStyle w:val="Heading2"/>
      </w:pPr>
      <w:r>
        <w:t>Regeste</w:t>
      </w:r>
    </w:p>
    <w:p>
      <w:r>
        <w:t>Auslieferung an Deutschland; Auslieferungshaftbefehl (Art.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Rechtsanwalt Severin Walz hat am 24. März 2023 die Haftbeschwerde zurückgezogen, welche sein Mandant erhoben hatte, ohne um ihre Bedeu- tung zu wissen, bevor er rechtsanwaltlich vertreten war. Das Verfahren RH.2023.5 ist daher infolge Rückzugs der Beschwerde abzuschreiben.</w:t>
      </w:r>
    </w:p>
    <w:p>
      <w:r>
        <w:rPr>
          <w:b/>
        </w:rPr>
        <w:t>E. 2.1</w:t>
      </w:r>
    </w:p>
    <w:p>
      <w:r>
        <w:t>Es werden keine Gerichtskosten erhoben.</w:t>
      </w:r>
    </w:p>
    <w:p>
      <w:r>
        <w:rPr>
          <w:b/>
        </w:rPr>
        <w:t>E. 2.2</w:t>
      </w:r>
    </w:p>
    <w:p>
      <w:r>
        <w:t>In Anwendung von Art. 65 Abs. 1 und 2 VwVG ist Rechtsanwalt Severin Walz für das Haftbeschwerdeverfahren RH.2023.5 als unentgeltlicher Rechtsbei- stand von A. mit Fr. 400.-- zu entschädigen (Verfahren RP.2023.12). Gelangt der Beschwerdeführer später zu hinreichenden Mitteln, so ist er verpflichtet, der Gerichtskasse Fr. 400.-- zu erstatten (vgl. Art. 65 Abs. 4 VwVG).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