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RH.2023.4 vom 3. März 2023</w:t>
      </w:r>
    </w:p>
    <w:p>
      <w:r>
        <w:t>Bundesstrafgericht, 2023-03-03, DE</w:t>
      </w:r>
    </w:p>
    <w:p>
      <w:r>
        <w:rPr>
          <w:b/>
        </w:rPr>
        <w:t xml:space="preserve">Quelle: </w:t>
      </w:r>
      <w:r>
        <w:t>https://mcp.opencaselaw.ch/entscheid/bstger_RH.2023.4</w:t>
      </w:r>
    </w:p>
    <w:p>
      <w:r>
        <w:t>FR: TPF RH.2023.4 du 3 mars 2023</w:t>
      </w:r>
    </w:p>
    <w:p>
      <w:r>
        <w:t>IT: TPF RH.2023.4 del 3 marzo 2023</w:t>
      </w:r>
    </w:p>
    <w:p>
      <w:pPr>
        <w:pStyle w:val="Heading2"/>
      </w:pPr>
      <w:r>
        <w:t>Regeste</w:t>
      </w:r>
    </w:p>
    <w:p>
      <w:r>
        <w:t>Auslieferung an Deutschland; Auslieferungshaftbefehl (Art. 48 Abs. 2 IRSG)</w:t>
      </w:r>
    </w:p>
    <w:p>
      <w:pPr>
        <w:pStyle w:val="Heading2"/>
      </w:pPr>
      <w:r>
        <w:t>Erwägungen</w:t>
      </w:r>
    </w:p>
    <w:p>
      <w:r>
        <w:rPr>
          <w:b/>
        </w:rPr>
        <w:t>E. 1.1.1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sektoriellen Abkommen mit der EU», 8.1 Anhang A; https://www.ad- min.ch/opc/de/european-union/international-agreements/008.html) i.V.m. dem Beschluss des Rates 2007/533/JI vom 12. Juni 2007 über die Einrich- tung, den Betrieb und die Nutzung des SIS der zweiten Generation (SIS II), namentlich Art. 26-31 (CELEX-Nr. 32007D0533; ABl. L 205 vom 7. August 2007, S. 63-84; abrufbar unter 8.4 Weiterentwicklungen des Schengen-Be- sitzstands), sowie diejenigen Bestimmungen des Übereinkommens vom</w:t>
      </w:r>
    </w:p>
    <w:p>
      <w:r>
        <w:t>- 5 -</w:t>
      </w:r>
    </w:p>
    <w:p>
      <w:r>
        <w:t>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8.2 Anhang B) eine Weiterentwicklung des Schengen-Besitzstands darstellen (d.h. die Art. 2, 6, 8, 9 und 13 des EU-Auslieferungsübereinkom- mens sowie dessen Art. 1, soweit er für die anderen Artikel relevant ist). Die zwischen den Vertragsparteien geltenden weitergehenden Bestimmungen aufgrund bilateraler oder multilateraler Abkommen bleiben unberührt (Art. 59 Abs. 2 SDÜ; Art. 1 Abs. 2 EU-Auslieferungsübereinkommen).</w:t>
      </w:r>
    </w:p>
    <w:p>
      <w:r>
        <w:rPr>
          <w:b/>
        </w:rPr>
        <w:t>E. 1.1.2</w:t>
      </w:r>
    </w:p>
    <w:p>
      <w:r>
        <w:t>Soweit diese Staatsverträge und die Zusatzprotokolle bestimmte Fragen we- der ausdrücklich noch stillschweigend regeln, bzw. das schweizerische Lan- desrecht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rPr>
          <w:b/>
        </w:rPr>
        <w:t>E. 1.1.3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1.2</w:t>
      </w:r>
    </w:p>
    <w:p>
      <w:r>
        <w:t>Die Beschwerdeschrift hat die Begehren, deren Begründung mit Angabe der Beweismittel und die Unterschrift des Beschwerdeführers oder seines Ver- treters zu enthalten; die Ausfertigung der angefochtenen Verfügung und die als Beweismittel angerufenen Urkunden sind beizulegen, soweit der Be- schwerdeführer sie in Händen hat (Art. 52 Abs. 1 VwVG). Genügt die Be- schwerde diesen Anforderungen nicht oder lassen die Begehren des Be- schwerdeführers oder deren Begründung die nötige Klarheit vermissen und stellt sich die Beschwerde nicht als offensichtlich unzulässig heraus, so räumt die Beschwerdeinstanz dem Beschwerdeführer eine kurze Nachfrist zur Verbesserung ein (Art. 52 Abs. 2 VwVG). Erfordert es der aussergewöhn- liche Umfang oder die besondere Schwierigkeit einer Beschwerdesache, so</w:t>
      </w:r>
    </w:p>
    <w:p>
      <w:r>
        <w:t>- 6 -</w:t>
      </w:r>
    </w:p>
    <w:p>
      <w:r>
        <w:t>gestattet die Beschwerdeinstanz dem Beschwerdeführer, der darum in sei- ner sonst ordnungsgemäss eingereichten Beschwerde nachsucht, deren Be- gründung innert einer angemessenen Nachfrist zu ergänzen; in diesem Falle findet Art. 32 Abs. 2 keine Anwendung (Art. 53 VwVG). Ein Mangel gemäss Art. 52 Abs. 2 VwVG bzw. einen aussergewöhnlichen Umfang oder eine be- sondere Schwierigkeit im Sinne von Art. 53 VwVG liegt vorliegend nicht vor und wird auch nicht geltend gemacht. Demzufolge ist das durch MLaw Ben- jamin Stückelberger gestellte Gesuch des Beschwerdeführers, es sei eine Frist zur ergänzenden Begründung der Beschwerde anzusetzen, abzuwei- sen.</w:t>
      </w:r>
    </w:p>
    <w:p>
      <w:r>
        <w:rPr>
          <w:b/>
        </w:rPr>
        <w:t>E. 2</w:t>
      </w:r>
    </w:p>
    <w:p>
      <w:r>
        <w:t>Einleitend sei angemerkt, dass der Beschwerdeführer in den Einvernahmen vom 31. Januar und 9. Februar 2023 als «B.» bezeichnet wird. Auch in der von seinem Rechtsvertreter eingereichten Vollmacht ist dieser Name aufge- führt. In der Ausschreibung im SIS vom 11. Juni 2021 wird die verfolgte Per- son hingegen als «A.» bezeichnet. Der Beschwerdeführer bestätigte in der Einvernahme vom 31. Januar 2023, mit der im deutschen Ersuchen erwähn- ten Person identisch zu sein. Er führte aus, es handle sich hierbei um seinen alten Namen in Deutschland (act. 3.3, S. 2). Da der Beschwerdeführer weder anlässlich der zweiten Einvernahme vom 9. Februar 2023 noch in der vorlie- genden Beschwerde ausdrücklich bestritt, mit der im Ersuchen erwähnten Person identisch zu sein, wird davon ausgegangen, dass es sich beim Be- schwerdeführer um die im deutschen Ersuchen verfolgte Person handelt.</w:t>
      </w:r>
    </w:p>
    <w:p>
      <w:r>
        <w:rPr>
          <w:b/>
        </w:rPr>
        <w:t>E. 3.1</w:t>
      </w:r>
    </w:p>
    <w:p>
      <w:r>
        <w:t>Die verfolgte Person kann gegen den Auslieferungshaftbefehl des BJ innert zehn Tagen ab der schriftlichen Eröffnung bei der Beschwerdekammer des Bundesstrafgerichts Beschwerde führen (Art. 48 Abs. 2 i.V.m. Art. 25 Abs. 1 IRSG, Art. 50 Abs. 1 VwVG, Art. 37 Abs. 2 lit. a Ziff. 1 StBOG).</w:t>
      </w:r>
    </w:p>
    <w:p>
      <w:r>
        <w:rPr>
          <w:b/>
        </w:rPr>
        <w:t>E. 3.2</w:t>
      </w:r>
    </w:p>
    <w:p>
      <w:r>
        <w:t>Der Auslieferungshaftbefehl vom 31. Januar 2023 wurde dem Rechtsvertre- ter des Beschwerdeführers am 1. Februar 2023 eröffnet (act. 1.2). Als Ver- folgter (vgl. Art. 11 Abs. 1 IRSG) ist der Beschwerdeführer zur Einreichung der vorliegenden Beschwerde legitimiert. Auf die im Übrigen frist- und form- gerecht erhobene Beschwerde ist einzutreten.</w:t>
      </w:r>
    </w:p>
    <w:p>
      <w:r>
        <w:t>- 7 -</w:t>
      </w:r>
    </w:p>
    <w:p>
      <w:r>
        <w:rPr>
          <w:b/>
        </w:rPr>
        <w:t>E. 4.1</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u.a. den Entscheid des Bundesstrafgerichts RH.2021.1 vom 18. Januar 2021 E. 3).</w:t>
      </w:r>
    </w:p>
    <w:p>
      <w:r>
        <w:rPr>
          <w:b/>
        </w:rPr>
        <w:t>E. 4.2</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f.; 111 IV 108 E. 2; Entscheid des Bundesstrafgerichts RH.2015.14 vom 9. Juli 2015 E. 4.1). Die Rechtsprechung ist hinsichtlich der Verneinung von Fluchtgefahr überaus restriktiv und misst der Erfüllung dieser staatsvertraglichen Auslie- ferungspflichten im Vergleich zu den Interessen des Verfolgten ausseror- dentlich grosses Gewicht bei (vgl. BGE 130 II 306 E. 2 S. 310 ff. m.w.H.; Entscheid des Bundesstrafgerichts RH.2015.4 vom 23. Februar 2015 E. 5.2). Das Bundesgericht bejaht die Fluchtgefahr bei drohenden hohen Freiheits- strafen in der Regel sogar dann, wenn der Betroffene über eine Niederlas- sungsbewilligung und familiäre Bindungen in der Schweiz verfügt (BGE 136 IV 20 E. 2.3; Urteil des Bundesgerichts 8G.45/2001 vom 15. August 2001 E. 3a).</w:t>
      </w:r>
    </w:p>
    <w:p>
      <w:r>
        <w:rPr>
          <w:b/>
        </w:rPr>
        <w:t>E. 5.1</w:t>
      </w:r>
    </w:p>
    <w:p>
      <w:r>
        <w:t>Der Beschwerdeführer bringt in einem ersten Punkt vor, dass das Erfordernis der beidseitigen Strafbarkeit nicht erfüllt sei. Ein Messer in der Art eines Kü- chenmessers mit einer festen, mindestens 10 cm langen Klinge stelle zumin- dest nach schweizerischem Recht keine Waffe dar. Bei der Handtasche handle es sich um ein geringfügiges Vermögensdelikt, das eine Auslieferung nicht rechtfertige (act. 1, S. 3).</w:t>
      </w:r>
    </w:p>
    <w:p>
      <w:r>
        <w:t>- 8 -</w:t>
      </w:r>
    </w:p>
    <w:p>
      <w:r>
        <w:rPr>
          <w:b/>
        </w:rPr>
        <w:t>E. 5.2</w:t>
      </w:r>
    </w:p>
    <w:p>
      <w:r>
        <w:t>Die vom Beschwerdeführer erhobenen Einwendungen gegen die doppelte Strafbarkeit beziehen sich auf die betreffenden Auslieferungsvoraussetzun- gen, die grundsätzlich nicht im Rahmen des Beschwerdeverfahrens gegen die angeordnete Haft zu prüfen sind, sondern gegebenenfalls im Rahmen eines Auslieferungsentscheides (vgl. u.a. Entscheid des Bundessstrafge- richts RH.2020.5 vom 12. August 2020 E. 5.1 und 5.2). Hinweise die beim geschilderten Sachverhalt auf eine Übertretung im Sinne von Art. 172ter Abs. 1 StGB (geringfügige Vermögendelikte) schliessen lassen, liegen nicht vor. Der Beschwerdeführer zeigt mit seiner Kritik keine Gründe auf, welche seine Auslieferung ohne jeden Zweifel und ohne weitere Abklärungen als offensichtlich unzulässig erscheinen lassen. Jedenfalls sind derzeit keine Anhaltspunkte ersichtlich, die darauf deuten würden, dass die Auslieferung des Beschwerdeführers deswegen als offensichtlich unzulässig i.S.v. Art. 51 Abs. 1 IRSG zu qualifizieren und die Haft daher nicht fortzusetzen wäre.</w:t>
      </w:r>
    </w:p>
    <w:p>
      <w:r>
        <w:rPr>
          <w:b/>
        </w:rPr>
        <w:t>E. 6.1</w:t>
      </w:r>
    </w:p>
    <w:p>
      <w:r>
        <w:t>Der Beschwerdeführer bestreitet das Vorliegen einer Fluchtgefahr. Er bringt vor, das in Deutschland hängige Strafverfahren stelle für ihn keinen Anreiz dar, unterzutauchen. Er wolle in Europa leben und würde die Qualen des Untertauchens nicht auf sich nehmen. Ihm würde, selbst wenn die Vorwürfe zuträfen, keine allzu hohe Sanktion in Deutschland drohen (act. 1, S. 3 f.).</w:t>
      </w:r>
    </w:p>
    <w:p>
      <w:r>
        <w:rPr>
          <w:b/>
        </w:rPr>
        <w:t>E. 6.2</w:t>
      </w:r>
    </w:p>
    <w:p>
      <w:r>
        <w:t>Entgegen der Behauptung des Beschwerdeführers droht ihm im Falle einer Auslieferung und einer Verurteilung in Deutschland eine Freiheitsstrafe von bis zu zehn Jahren (act. 3.8, Haftbefehl vom 28. September 2020). Der Be- schwerdeführer ist algerischer Staatsbürger, 42 Jahre alt und soweit ersicht- lich (abgesehen von möglichen psychischen Problemen und Rückenschmer- zen) bei guter Gesundheit (act. 3.3, S. 3). Der Beschwerdeführer verfügt über keinen erkennbaren Bezug zur Schweiz, ein solcher wird von ihm auch nicht behauptet. Als Wohndomizil des Beschwerdeführers wird in den Verfahrens- akten Frankreich angegeben (act. 3.3). Der Beschwerdeführe könnte in Frei- heit ohne weiteres untertauchen und sich beispielsweise nach Frankreich oder Algerien absetzen. Der Beschwerdegegner geht daher zu Recht vom Vorliegen einer erheblichen Fluchtgefahr aus. Mildere Ersatzmassnahmen, die geeignet wären, der erheblichen Fluchtgefahr ausreichend zu begegnen, sind vorliegend keine ersichtlich. Ausserdem werden Ersatzmassnahmen wie Abgabe der Reisedokumente, Schriftensperre, Meldepflicht und Electro- nic Monitoring angesichts der einfachen Möglichkeit, sich ins Ausland abzu- setzen, nach konstanter Rechtsprechung nur in Kombination mit einer sehr substantiellen Sicherheitsleistung als überhaupt geeignet erachtet, eine be- stehende Fluchtgefahr ausreichend zu bannen (Entscheide des</w:t>
      </w:r>
    </w:p>
    <w:p>
      <w:r>
        <w:t>- 9 -</w:t>
      </w:r>
    </w:p>
    <w:p>
      <w:r>
        <w:t>Bundesstrafgerichts RH.2017.17 vom 2. Oktober 2017 E. 5.4.4; RH.2015.20 vom 1. September 2015 E. 5.3.2; RH.2015.10 vom 10. Juni 2015 E. 5.3; RH.2015.4 vom 23. Februar 2015 E. 5.2). Da eine solche vom Beschwerde- führer nicht angeboten wird, erübrigen sich weitere Ausführungen hierzu.</w:t>
      </w:r>
    </w:p>
    <w:p>
      <w:r>
        <w:rPr>
          <w:b/>
        </w:rPr>
        <w:t>E. 7.1</w:t>
      </w:r>
    </w:p>
    <w:p>
      <w:r>
        <w:t>Schliesslich macht der Beschwerdeführer eine Verletzung des Verhältnis- mässigkeitsgrundsatzes geltend. Es sei erstaunlich und treuwidrig, dass die deutschen Behörden am 29. Juni 2020 von seiner Verhaftung abgesehen hätten und er nun in der Schweiz in Auslieferungshaft versetzt werden soll (act. 1, S. 4).</w:t>
      </w:r>
    </w:p>
    <w:p>
      <w:r>
        <w:rPr>
          <w:b/>
        </w:rPr>
        <w:t>E. 7.2</w:t>
      </w:r>
    </w:p>
    <w:p>
      <w:r>
        <w:t>Gemäss den Ausführungen im Haftbefehl des Amtsgerichts Lörrach ist der Beschwerdeführer nach der mutmasslichen Tat am 29. Juni 2020 vom Tatort in Z. zu Fuss über die Passerelle-Brücke nach Frankreich weggerannt (act. 3.8, Haftbefehl vom 28. September 2020). Die Anwesenheit der deut- schen Polizei am Tatort, geschweige ein Verzicht seitens der deutschen Be- hörden, den Beschwerdeführer sogleich zu verhaften, lässt sich dem Auslie- ferungsersuchen nicht entnehmen. Von einem treuwidrigen Verhalten der deutschen Behörden kann keine Rede sein.</w:t>
      </w:r>
    </w:p>
    <w:p>
      <w:r>
        <w:rPr>
          <w:b/>
        </w:rPr>
        <w:t>E. 7.3</w:t>
      </w:r>
    </w:p>
    <w:p>
      <w:r>
        <w:t>Andere Gründe, welche eine Auslieferung offensichtlich auszuschliessen oder sonst zu einer Aufhebung der Auslieferungshaft zu führen vermöchten, werden vom Beschwerdeführer weder geltend gemacht noch sind solche er- sichtlich.</w:t>
      </w:r>
    </w:p>
    <w:p>
      <w:r>
        <w:rPr>
          <w:b/>
        </w:rPr>
        <w:t>E. 7.4</w:t>
      </w:r>
    </w:p>
    <w:p>
      <w:r>
        <w:t>Nach dem Gesagten erweist sich die Beschwerde als unbegründet und ist vollumfänglich abzuweisen.</w:t>
      </w:r>
    </w:p>
    <w:p>
      <w:r>
        <w:rPr>
          <w:b/>
        </w:rPr>
        <w:t>E. 8.1</w:t>
      </w:r>
    </w:p>
    <w:p>
      <w:r>
        <w:t>Der Beschwerdeführer beantragt für das Beschwerdeverfahren die unent- geltliche Rechtspflege und Rechtsvertretung in Bezug auf Advokat Ozan Po- latli (RP.2023.10).</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Nach der bundesgerichtlichen Rechtsprechung sind als aussichtslos</w:t>
      </w:r>
    </w:p>
    <w:p>
      <w:r>
        <w:t>- 10 -</w:t>
      </w:r>
    </w:p>
    <w:p>
      <w:r>
        <w:t>Begehren anzusehen, bei denen die Gewinnaussichten beträchtlich geringer sind als die Verlustgefahren. Dagegen gilt ein Begehren nicht als aussichts- los, wenn sich Gewinnaussichten und Verlustgefahren ungefähr die Waage halten oder jene nur wenig geringer sind als diese (BGE 142 III 138 E. 5.1; 140 V 521 E. 9.1).</w:t>
      </w:r>
    </w:p>
    <w:p>
      <w:r>
        <w:rPr>
          <w:b/>
        </w:rPr>
        <w:t>E. 8.3</w:t>
      </w:r>
    </w:p>
    <w:p>
      <w:r>
        <w:t>Vorliegend erweist sich die Beschwerde als offensichtlich aussichtslos im Sinne von Art. 65 Abs. 1 VwVG. Demzufolge ist das Gesuch des Beschwer- deführers um unentgeltliche Rechtspflege und -verbeiständung ohne Über- prüfung von dessen finanzieller Situation abzuweisen.</w:t>
      </w:r>
    </w:p>
    <w:p>
      <w:r>
        <w:rPr>
          <w:b/>
        </w:rPr>
        <w:t>E. 8.4</w:t>
      </w:r>
    </w:p>
    <w:p>
      <w:r>
        <w:t>Bei diesem Ausgang des Verfahrens sind die Gerichtskosten dem Be- schwerdeführer aufzuerlegen (Art. 63 Abs. 1 VwVG). Die Gerichtsgebühr ist auf Fr. 2'000.-- festzusetzen (vgl. Art. 63 Abs. 5 VwVG und Art. 73 StBOG sowie Art. 5 und Art. 8 Abs. 3 lit. a des Reglements des Bundesstrafgerichts vom 31. August 2010 über die Kosten, Gebühren und Entschädigungen in Bundesstrafverfahren [BStKR; SR 173.713.162]).</w:t>
      </w:r>
    </w:p>
    <w:p>
      <w:r>
        <w:rPr>
          <w:b/>
        </w:rPr>
        <w:t>E. 9</w:t>
      </w:r>
    </w:p>
    <w:p>
      <w:r>
        <w:t>Aufgrund seines Gesuches sind MLaw Benjamin Stückelberger die Akten des vorliegenden Beschwerdeverfahrens (RH.2023.4 und RP.2023.10) in Kopie zuzustellen. Der Vollständigkeit halber wird darauf hingewiesen, dass Advokat Ozan Polatli im vorliegenden Beschwerdeverfahren nicht als amtli- chen Rechtsbeistand ernannt wurde bzw. im Beschwerdeverfahren keine unentgeltliche Rechtsverbeiständung besteht. Eine allfällige Entlassung vom amtlichen Mandat liegt nicht in der Zuständigkeit der Beschwerdekammer.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