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RH.2023.3 vom 6. Februar 2023</w:t>
      </w:r>
    </w:p>
    <w:p>
      <w:r>
        <w:t>Bundesstrafgericht, 2023-02-06, IT</w:t>
      </w:r>
    </w:p>
    <w:p>
      <w:r>
        <w:rPr>
          <w:b/>
        </w:rPr>
        <w:t xml:space="preserve">Quelle: </w:t>
      </w:r>
      <w:r>
        <w:t>https://mcp.opencaselaw.ch/entscheid/bstger_RH.2023.3</w:t>
      </w:r>
    </w:p>
    <w:p>
      <w:r>
        <w:t>FR: TPF RH.2023.3 du 6 février 2023</w:t>
      </w:r>
    </w:p>
    <w:p>
      <w:r>
        <w:t>IT: TPF RH.2023.3 del 6 febbraio 2023</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dell'estradando è pacifica. Il gravame è di conseguenza ricevibile in ordine.</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alla Decisione 2007/533/GAI del Consiglio, del 12 giugno 2007, applicabile dal 9 aprile 2013, sull’istituzione, l’esercizio e l’uso del sistema di informazione Schengen di seconda genera- zione (SIS II), segnatamente gli art. 26-31 (n° CELEX 32007D0533; Gazzetta ufficiale dell’Unione europea L 205 del 7 agosto 2007, pag. 63-84; “Raccolta dei testi giuridici riguardanti gli accordi bilaterali”, 8.4 Sviluppi dell’acquis di Schen- gen), così come, a partire dal 5 novembre 2019, le disposizioni della Conven- zione del 27 settembre 1996 relativa all’estradizione tra gli Stati membri dell’Unione europea (Convenzione sull’estradizione UE; n° CELEX</w:t>
      </w:r>
    </w:p>
    <w:p>
      <w:r>
        <w:t>- 4 -</w:t>
      </w:r>
    </w:p>
    <w:p>
      <w:r>
        <w:t>41996A1023(02); Gazzetta ufficiale dell’Unione europea C 313 del 23 ottobre 1996, pag. 12-23, “Raccolta dei testi giuridici riguardanti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(ovvero gli art. 2, 6, 8, 9 e 13 nonché l’art. 1, per quanto pertinente agli altri articoli). Restano impregiudicate disposi- 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w:t>
      </w:r>
    </w:p>
    <w:p>
      <w:r>
        <w:t>- 5 -</w:t>
      </w:r>
    </w:p>
    <w:p>
      <w:r>
        <w:t>internationale en matière pénale, 5a ediz. 2019, n. 348 e n. 350; HEIMGARTNER, Auslieferungsrecht, 2002, pag. 57). L’ordine di arresto in vista di estradizione può tuttavia essere annullato, rispettivamente la liberazione ordinata, segnata- 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estradizione sia accolta e cresciuta in giudicato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 visorio potrà e, rispettivamente, dovrà cessare se la domanda d'estradizione non è presentata col prescritto corredo (art. 16 n. 4, prima frase), la Conven- zione precisa (ibidem, seconda frase) che, tuttavia, la liberazione provvisoria è sempre possibile "in quanto la Parte richiesta prenda tutte le misure da essa ritenute necessarie per evitare la fuga dell'individuo richiesto". Nessuna dispo- sizione contiene invece la CEEstr circa la carcerazione estradizionale tra il mo- mento della presentazione della domanda e la decisione. Applicabile è quindi unicamente il diritto dello Stato richiesto, compatibilmente col rispetto degli ob- blighi di consegna del ricercato che derivano dalla Convenzione (DTF 109 Ib 223 consid. 2a, con rinvii; MOREILLON, op. cit., n. 7 e 9 ad art. 47 AIMP).</w:t>
      </w:r>
    </w:p>
    <w:p>
      <w:r>
        <w:rPr>
          <w:b/>
        </w:rPr>
        <w:t>E. 3</w:t>
      </w:r>
    </w:p>
    <w:p>
      <w:r>
        <w:t>Il reclamante contesta l’esistenza del pericolo di fuga. Contrariamente a quanto asserito nell’atto impugnato, egli non si sarebbe sottratto all’arresto, avendo avuto conoscenza dell’ordine di arresto solo il 9 gennaio 2023, giorno del suo fermo. Titolare di un permesso di dimora, egli vivrebbe in Svizzera da più di dieci anni. Inoltre, egli avrebbe già vissuto, dal 1985 al 1996, con la sua ex moglie e coi suoi figli in Svizzera, nella regione di Thun. La sua ex compagna e</w:t>
      </w:r>
    </w:p>
    <w:p>
      <w:r>
        <w:t>- 6 -</w:t>
      </w:r>
    </w:p>
    <w:p>
      <w:r>
        <w:t>la loro figlia, nata nel 2014, vivrebbero anche in Svizzera. La sua attuale partner vivrebbe anch’essa in Svizzera. I legami con il nostro territorio non sarebbero solo affettivi ma anche economici, visto egli sarebbe titolare di una ditta di co- struzioni dal 2012, nonché di un ristorante a Gerlafingen, attività che sarebbero messe in difficoltà da una sua eventuale estradizione. L’insorgente sostiene inoltre di essere vittima di una forma tumorale non guaribile e di necessitare di cure in Svizzera. Al momento non necessiterebbe di trattamenti, ma la situa- zione potrebbe mutare in ogni momento. Egli dovrebbe comunque sottoporsi regolarmente a controlli clinici e di laboratorio, per sorvegliare la malattia. Il pe- ricolo di fuga sarebbe quindi inesistente anche a causa del suo precario stato di salute, volendo egli essere curato in Svizzera.</w:t>
      </w:r>
    </w:p>
    <w:p>
      <w:r>
        <w:rPr>
          <w:b/>
        </w:rPr>
        <w:t>E. 3.1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w:t>
      </w:r>
    </w:p>
    <w:p>
      <w:r>
        <w:t>- 7 -</w:t>
      </w:r>
    </w:p>
    <w:p>
      <w:r>
        <w:t>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3.2</w:t>
      </w:r>
    </w:p>
    <w:p>
      <w:r>
        <w:t>In concreto, non si è manifestamente in presenza di circostanze particolari che imporrebbero di derogare, in via eccezionale, alla regola della carcerazione. Il reclamante è cittadino italiano, ha 54 anni e risiede in Svizzera da svariati anni, dove vive con la sua compagna, esercitando un’attività imprenditoriale che, a dire del reclamante, è condizionata da numerosi obblighi da rispettare, tra i quali la restituzione di crediti Covid per fr. 120'000.– (v. act. 1, pag. 4). Vista la</w:t>
      </w:r>
    </w:p>
    <w:p>
      <w:r>
        <w:t>- 8 -</w:t>
      </w:r>
    </w:p>
    <w:p>
      <w:r>
        <w:t>predetta giurisprudenza (v. anche sentenze del Tribunale penale federale RR.2011.133 del 29 giugno 2011 consid. 3; RR.2011.88 del 15 aprile 2011 con- sid. 7; RR.2011.45 del 9 marzo 2011 consid. 4.4; ZIMMERMANN, op. cit., n. 348 pag. 379) e l’importante pena residua di 5 anni e 11 mesi ancora da scontare, basata su sentenze italiane cresciute in giudicato, i motivi addotti non sono suf- ficienti per negare il pericolo di fuga. Nonostante la sua situazione personale e professionale, di fronte alla possibilità di un'estradizione all'Italia, dove deve scontare una pena relativamente lunga, persiste un marcato pericolo che l'e- stradando tenti di sottrarsi alla giustizia, come del resto ha più volte fatto dopo le numerose sentenze di condanna in Italia. Per quanto riguarda poi la sua ma- lattia, nella misura in cui essa potrebbe essere curata in maniera adeguata an- che in altri Paesi, non costituisce un valido motivo di attenuazione del pericolo di fuga. Egli del resto non sostiene, né vi sono elementi in tal senso agli atti, di non essere carcerabile a causa delle sue condizioni di salute (v. TPF 2020 143 consid. 5.4.1 e riferimenti). Le censure in questo ambito vanno pertanto disat- tese.</w:t>
      </w:r>
    </w:p>
    <w:p>
      <w:r>
        <w:rPr>
          <w:b/>
        </w:rPr>
        <w:t>E. 4</w:t>
      </w:r>
    </w:p>
    <w:p>
      <w:r>
        <w:t>In alternativa alla detenzione, il reclamante propone l’adozione di misure sosti- tutive quale l’annuncio settimanale presso l’autorità o il braccialetto elettronico, unitamente al pagamento di una cauzione.</w:t>
      </w:r>
    </w:p>
    <w:p>
      <w:r>
        <w:t>Contrariamente a quanto sostenuto nel reclamo, ritenuta in particolare la consi- stente pena di 5 anni e 11 mesi ancora da scontare (v. supra consid. 3.2), le misure in questione non sono di per sé sufficienti a scongiurare un pericolo di fuga (v. sentenza del Tribunale penale federale RR.2009.329 consid. 1.1.2 e riferimenti citati). Il versamento di una cauzione, seppur combinato con la sor- veglianza tramite braccialetto elettronico, avrebbe anch'esso solo un'incidenza minima sul pericolo in questione. Per quanto concerne la cauzione, il Tribunale federale ha precisato che l'assenza di una dettagliata esposizione della situa- zione finanziaria dell'estradando impedisce all'autorità preposta di fissare l'im- porto della cauzione, ritenuto pure che, mancando dati completi, anche una cauzione elevata non sarebbe sufficiente a scongiurare il pericolo di fuga (v. sentenza del Tribunale federale 8G.11/2003 del 21 febbraio 2003 consid. 5; v. anche sentenza del Tribunale penale federale RR.2010.76 del 5 maggio 2010 consid. 4.3). In concreto, il reclamante ha offerto una cauzione di fr. 60'000.– (v. act. 4, pag. 2). Per dimostrare di essere in grado di fornire tale importo, egli ha prodotto due documenti intitolati “Movimenti di conto” concernenti due rela- zioni bancarie presso la banca B., una intestata al reclamante (v. act. 4.2) e l’altra alla società C. AG (v. act. 4.3), spiegando inoltre la provenienza del de- naro offerto (v. act. 4, pag. 2), malgrado i diversi impegni finanziari da lui evocati in sede di reclamo (v. act. 1, pag. 4). I documenti in questione non sono tuttavia sufficienti per inquadrare i redditi e il patrimonio del reclamante nel loro com- plesso. Egli non ha infatti prodotto nessuna documentazione riguardante la</w:t>
      </w:r>
    </w:p>
    <w:p>
      <w:r>
        <w:t>- 9 -</w:t>
      </w:r>
    </w:p>
    <w:p>
      <w:r>
        <w:t>situazione finanziaria e fiscale sua, della sua ditta e del suo ristorante. In as- senza delle necessarie indicazioni che possano permettere di valutare, in modo adeguato, la situazione patrimoniale complessiva del reclamante, non risulta possibile fissare l'importo di una cauzione concretamente dissuasiva per evitare ogni pericolo di fuga.</w:t>
      </w:r>
    </w:p>
    <w:p>
      <w:r>
        <w:rPr>
          <w:b/>
        </w:rPr>
        <w:t>E. 5</w:t>
      </w:r>
    </w:p>
    <w:p>
      <w:r>
        <w:t>Sulla base dell'incarto, non sono ravvisabili altri motivi che permetterebbero di ordinare la scarcerazione dell'estradando. In definitiva, sussistendo un reale pe- ricolo di fuga e in assenza di altra soluzione equivalente nei suoi risultati ma meno limitativa della libertà personale, il provvedimento impugnato non può es- sere considerato lesivo del principio della proporzionalità. Non vi è quindi ra- gione di scarcerare l'estradando ordinando misure cautelari sostitutive.</w:t>
      </w:r>
    </w:p>
    <w:p>
      <w:r>
        <w:rPr>
          <w:b/>
        </w:rPr>
        <w:t>E. 6</w:t>
      </w:r>
    </w:p>
    <w:p>
      <w:r>
        <w:t>In conclusione, il reclamo va respinto e la detenzione estradizionale confermata.</w:t>
      </w:r>
    </w:p>
    <w:p>
      <w:r>
        <w:rPr>
          <w:b/>
        </w:rPr>
        <w:t>E. 7</w:t>
      </w:r>
    </w:p>
    <w:p>
      <w:r>
        <w:t>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