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RH.2023.2 vom 31. Januar 2023</w:t>
      </w:r>
    </w:p>
    <w:p>
      <w:r>
        <w:t>Bundesstrafgericht, 2023-01-31, DE</w:t>
      </w:r>
    </w:p>
    <w:p>
      <w:r>
        <w:rPr>
          <w:b/>
        </w:rPr>
        <w:t xml:space="preserve">Quelle: </w:t>
      </w:r>
      <w:r>
        <w:t>https://mcp.opencaselaw.ch/entscheid/bstger_RH.2023.2</w:t>
      </w:r>
    </w:p>
    <w:p>
      <w:r>
        <w:t>FR: TPF RH.2023.2 du 31 janvier 2023</w:t>
      </w:r>
    </w:p>
    <w:p>
      <w:r>
        <w:t>IT: TPF RH.2023.2 del 31 gennaio 2023</w:t>
      </w:r>
    </w:p>
    <w:p>
      <w:pPr>
        <w:pStyle w:val="Heading2"/>
      </w:pPr>
      <w:r>
        <w:t>Regeste</w:t>
      </w:r>
    </w:p>
    <w:p>
      <w:r>
        <w:t>Auslieferung an Rumänien; Auslieferungshaftbefehl (Art. 48 Abs. 2 IRSG)</w:t>
      </w:r>
    </w:p>
    <w:p>
      <w:pPr>
        <w:pStyle w:val="Heading2"/>
      </w:pPr>
      <w:r>
        <w:t>Erwägungen</w:t>
      </w:r>
    </w:p>
    <w:p>
      <w:r>
        <w:rPr>
          <w:b/>
        </w:rPr>
        <w:t>E. 20</w:t>
      </w:r>
    </w:p>
    <w:p>
      <w:r>
        <w:t>Dezember 1968 über das Verwaltungsverfahren [Verwaltungsverfah- rensgesetz, VwVG; SR 172.021]); vorliegend kein Grund besteht, von dieser Regel abzuweichen, weshalb der vorliegende Entscheid in deutscher Spra- che ergeht, auch wenn die Beschwerde in Französisch verfasst ist;</w:t>
      </w:r>
    </w:p>
    <w:p>
      <w:r>
        <w:t>- die verfolgte Person gegen den Auslieferungshaftbefehl des BJ innert zehn Tagen ab der schriftlichen Eröffnung Beschwerde bei der Beschwerdekam- mer des Bundesstrafgerichts führen kann, wobei für das Beschwerdeverfah- ren die Art. 379-397 StPO sinngemäss gelten (Art. 48 Abs. 2 i.V.m. Art. 47 IRSG);</w:t>
      </w:r>
    </w:p>
    <w:p>
      <w:r>
        <w:t>- im Übrigen die allgemeinen Bestimmungen des IRSG und des VwVG gelten (vgl. Art. 39 Abs. 2 lit. b i.V.m. Art. 37 Abs. 2 lit. a Ziff. 1 StBOG);</w:t>
      </w:r>
    </w:p>
    <w:p>
      <w:r>
        <w:t>- die Beschwerdeschrift gemäss Art. 52 Abs. 1 VwVG die Begehren, deren Begründung mit Angabe der Beweismittel und die Unterschrift des Be- schwerdeführers oder seines Vertreters zu enthalten hat;</w:t>
      </w:r>
    </w:p>
    <w:p>
      <w:r>
        <w:t>- die Beschwerdeinstanz dem Beschwerdeführer eine kurze Nachfrist zur Ver- besserung einräumt, wenn die Beschwerde diesen Anforderungen nicht ge- nügt (Art. 52 Abs. 2 VwVG);</w:t>
      </w:r>
    </w:p>
    <w:p>
      <w:r>
        <w:t>- sie diese Nachfrist mit der Androhung verbindet, nach unbenutztem Fristab- lauf auf Grund der Akten zu entscheiden oder, wenn Begehren, Begründung oder Unterschrift fehlen, auf die Beschwerde nicht einzutreten (Art. 52 Abs. 3 VwVG);</w:t>
      </w:r>
    </w:p>
    <w:p>
      <w:r>
        <w:t>- Prozesshandlungen, die ohne gültige Vollmacht oder von einer handlungs- unfähigen Person vorgenommen werden, ungültig sind, weshalb auf ein Ge- such oder auf ein Rechtsmittel, das von einer nicht vertretungsbefugten Per- son eingereicht worden ist, nicht eingetreten wird (Entscheid des Bun- desstrafgerichts RR.2020.151 vom 22. Juli 2020 m.w.H.);</w:t>
      </w:r>
    </w:p>
    <w:p>
      <w:r>
        <w:t>- gemäss Art. 20 Abs. 2bis VwVG i.V.m. Art. 39 Abs. 2 lit. b StBOG eine Mittei- lung, die nur gegen Unterschrift des Adressaten oder einer anderen berech- tigten Person überbracht wird, spätestens am siebten Tag nach dem ersten erfolglosen Zustellungsversuch als erfolgt gilt;</w:t>
      </w:r>
    </w:p>
    <w:p>
      <w:r>
        <w:t>- 4 -</w:t>
      </w:r>
    </w:p>
    <w:p>
      <w:r>
        <w:t>- das Einschreiben vom 18. Januar 2023 RA Ionescu am 19. Januar 2023 zur Abholung mit Frist bis 26. Januar 2023 gemeldet wurde (act. 8);</w:t>
      </w:r>
    </w:p>
    <w:p>
      <w:r>
        <w:t>- RA Ionescu vorliegend als mutmasslicher Vertreter des Beschwerdeführers aufgrund seiner Beschwerde mit einer behördlichen Mitteilung rechnen musste, weshalb das Einschreiben vom 18. Januar 2023 am siebten Tag nach dem ersten erfolglosen Zustellungsversuch vom 19. Januar 2023, d.h. am 26. Januar 2023 als zugestellt gilt;</w:t>
      </w:r>
    </w:p>
    <w:p>
      <w:r>
        <w:t>- dem Gericht innert der angesetzten Frist eine rechtsgültig unterschriebene Beschwerde nicht eingereicht wurde, weshalb bereits aus diesem Grund auf die Beschwerde androhungsgemäss nicht einzutreten ist;</w:t>
      </w:r>
    </w:p>
    <w:p>
      <w:r>
        <w:t>- des Weiteren die dem Gericht eingereichte Anwaltsvollmacht nicht vom Be- schwerdeführer unterzeichnet wurde, weshalb auf die Beschwerde auch aus diesem Grund androhungsgemäss nicht einzutreten ist (siehe auch die Ent- scheide des Bundesstrafgerichts RR.2020.151 vom 22. Juli 2020; RR.2019.88 vom 18. Juni 2019 und RR.2019.61 vom 18. April 2019);</w:t>
      </w:r>
    </w:p>
    <w:p>
      <w:r>
        <w:t>- die Verfahrenskosten bei diesem Ausgang des Verfahrens dem (vollmacht- losen) RA Ionescu aufzuerlegen sind (Entscheide des Bundesstrafgerichts RR.2020.151 vom 22. Juli 2020; RR.2015.110 vom 10. September 2015 E. 2.2);</w:t>
      </w:r>
    </w:p>
    <w:p>
      <w:r>
        <w:t>- für die Berechnung der Gerichtsgebühr gemäss Art. 63 Abs. 5 VwVG i.V.m. Art. 73 StBOG das Reglement des Bundesstrafgerichts über die Kosten, Ge- bühren und Entschädigungen in Bundesstrafverfahren vom 31. August 2010 (BStKR; SR 173.713.162) zur Anwendung gelangt;</w:t>
      </w:r>
    </w:p>
    <w:p>
      <w:r>
        <w:t>- die Gerichtsgebühr vorliegend auf Fr. 300.-- festzusetzen ist (vgl. Art. 8 Abs. 3 lit. a BStKR).</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