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RH.2023.18 vom 15. November 2023</w:t>
      </w:r>
    </w:p>
    <w:p>
      <w:r>
        <w:t>Bundesstrafgericht, 2023-11-15, DE</w:t>
      </w:r>
    </w:p>
    <w:p>
      <w:r>
        <w:rPr>
          <w:b/>
        </w:rPr>
        <w:t xml:space="preserve">Quelle: </w:t>
      </w:r>
      <w:r>
        <w:t>https://mcp.opencaselaw.ch/entscheid/bstger_RH.2023.18</w:t>
      </w:r>
    </w:p>
    <w:p>
      <w:r>
        <w:t>FR: TPF RH.2023.18 du 15 novembre 2023</w:t>
      </w:r>
    </w:p>
    <w:p>
      <w:r>
        <w:t>IT: TPF RH.2023.18 del 15 novembre 2023</w:t>
      </w:r>
    </w:p>
    <w:p>
      <w:pPr>
        <w:pStyle w:val="Heading2"/>
      </w:pPr>
      <w:r>
        <w:t>Regeste</w:t>
      </w:r>
    </w:p>
    <w:p>
      <w:r>
        <w:t>Auslieferung an Österreich; Auslieferungshaftbefehl (Art. 48 Abs. 2 IRSG)</w:t>
      </w:r>
    </w:p>
    <w:p>
      <w:pPr>
        <w:pStyle w:val="Heading2"/>
      </w:pPr>
      <w:r>
        <w:t>Erwägungen</w:t>
      </w:r>
    </w:p>
    <w:p>
      <w:r>
        <w:rPr>
          <w:b/>
        </w:rPr>
        <w:t>E. 1.1</w:t>
      </w:r>
    </w:p>
    <w:p>
      <w:r>
        <w:t>Für den Auslieferungsverkehr zwischen der Schweiz und Österreich sind pri- mär das Europäische Auslieferungsübereinkommen vom 13. Dezem- ber 1957 (EAUe; SR 0.353.1), sowie die am 17. März 1978, am 10. Novem- ber 2010 und am 20. September 2012 ergangenen Zusatzprotokolle (ZP II; SR 0.353.12; ZP III EAUe; SR 0.353.13; ZPIV EAUe; SR. 0353.14), denen beide Staaten beigetreten sind, sowie der Vertrag vom 13. Juni 1972 zwi- schen der Schweizerischen Eidgenossenschaft und der Republik Österreich über die Ergänzung des EAUe und die Erleichterung seiner Anwendung (ZV, SR 0.353.916.31)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sektoriellen Abkommen mit der EU», 8.1 Anhang A; https://www.admin.ch/opc/de/european-union/in- ternational-agreements/008.html) i.V.m. der Verordnung (EU) 2018/1862 des Europäischen Parlaments und des Rates vom 28. November 2018 über die Einrichtung, den Betrieb und die Nutzung des Schengener Informations- systems (SIS) im Bereich der polizeilichen Zusammenarbeit und der justizi- ellen Zusammenarbeit in Strafsachen, zur Änderung und Aufhebung des Be- schlusses 2007/533/JI des Rates und zur Aufhebung der Verordnung (EG) Nr. 1986/2006 des Europäischen Parlaments und des Rates und des Be- schlusses 2010/261/EU der Kommission, namentlich Art. 26–31 (CELEX-Nr. 32018R1862; Abl. L 312 vom 7. Dezember 2018, S. 56–106; abrufbar unter «Rechtssammlung zu den sektoriellen Abkommen mit der EU», 8.4 Weiter- entwicklungen des Schengen-Besitzstands), sowie diejenigen Bestimmun- gen des Übereinkommens vom 27. September 1996 über die Auslieferung zwischen den Mitgliedstaaten der Europäischen Union (EU-Auslieferungs- übereinkommen; CELEX-Nr.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w:t>
      </w:r>
    </w:p>
    <w:p>
      <w:r>
        <w:t>- 4 -</w:t>
      </w:r>
    </w:p>
    <w:p>
      <w:r>
        <w:t>stands darstellen. Die zwischen den Vertragsparteien geltenden weiterge- henden Bestimmungen aufgrund bilateraler oder multilateraler Abkommen bleiben unberührt (Art. 59 Abs. 2 SDÜ; Art. 1 Abs. 2 EU-Auslieferungs- übereinkommen).</w:t>
      </w:r>
    </w:p>
    <w:p>
      <w:r>
        <w:rPr>
          <w:b/>
        </w:rPr>
        <w:t>E. 1.2</w:t>
      </w:r>
    </w:p>
    <w:p>
      <w:r>
        <w:t>Soweit diese Staatsverträge und die Zusatzprotokolle nichts anderes bestim- men, findet ausschliesslich das Recht des ersuchten Staates Anwendung (Art. 22 EAUe), vorliegend also das Bundesgesetz vom 20. März 1981 über internationale Rechtshilfe in Strafsachen (Rechtshilfegesetz, IRSG; SR 351.1) und die dazugehörige Verordnung vom 24. Februar 1982 (Rechtshilfeverordnung, IRSV; SR 351.11). Das innerstaatliche Recht ge- langt nach dem Günstigkeitsprinzip auch dann zur Anwendung, wenn es ge- ringere Anforderungen an die Auslieferung stellt (BGE 142 IV 250 E. 3 S. 255; 140 IV 123 E. 2; 137 IV 33 E. 2.2.2; 136 IV 82 E. 3.1). Vorbehalten bleibt die Wahrung der Menschenrechte (BGE 135 IV 212 E. 2.3; 123 II 595 E. 7c; TPF 2008 24 E. 1.1 S. 26).</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des Strafbehörden des Bundes [Strafbehördenorgani- sationsgesetz, StBOG; SR 173.71]).</w:t>
      </w:r>
    </w:p>
    <w:p>
      <w:r>
        <w:rPr>
          <w:b/>
        </w:rPr>
        <w:t>E. 2.1</w:t>
      </w:r>
    </w:p>
    <w:p>
      <w:r>
        <w:t>Die verfolgte Person kann gegen den Auslieferungshaftbefehl des BJ innert zehn Tagen ab der schriftlichen Eröffnung bei der Beschwerdekammer des Bundesstrafgerichts Beschwerde führen (Art. 48 Abs. 2 i.V.m. Art. 25 Abs. 1 IRSG, Art. 50 Abs. 1 VwVG, Art. 37 Abs. 2 lit. a Ziff. 1 StBOG).</w:t>
      </w:r>
    </w:p>
    <w:p>
      <w:r>
        <w:rPr>
          <w:b/>
        </w:rPr>
        <w:t>E. 2.2</w:t>
      </w:r>
    </w:p>
    <w:p>
      <w:r>
        <w:t>Der Auslieferungshaftbefehl vom 20. Oktober 2023 wurde dem Beschwerde- führer am 24. Oktober 2023 eröffnet (act. 2). Als Verfolgter (vgl. Art. 11 Abs. 1 IRSG) ist der Beschwerdeführer zur Einreichung der vorliegenden Be- schwerde legitimiert. Auf die im Übrigen frist- und formgerecht erhobene Be- schwerde ist einzutreten.</w:t>
      </w:r>
    </w:p>
    <w:p>
      <w:r>
        <w:rPr>
          <w:b/>
        </w:rPr>
        <w:t>E. 3.1</w:t>
      </w:r>
    </w:p>
    <w:p>
      <w:r>
        <w:t>Der Beschwerdeführer bringt vor, der Europäische Haftbefehl entbehre jeg- licher Grundlage. Er habe nicht versucht, sich dem Zugriff der ersuchenden Behörde zu entziehen. Ihm sei von den österreichischen Behörden zu</w:t>
      </w:r>
    </w:p>
    <w:p>
      <w:r>
        <w:t>- 5 -</w:t>
      </w:r>
    </w:p>
    <w:p>
      <w:r>
        <w:t>keinem Zeitpunkt ein Ausreiseverbot erteilt, der Reisepass eingezogen und eine Meldepflicht auferlegt worden. Er habe bislang mit den Behörden in Innsbruck zusammengearbeitet und sein Umzug nach Dresden und Luzern sei behördlich gemeldet worden. An den im Haftbefehl erwähnten Adressen in Deutschland und Spanien würde nicht er, sondern seine Tochter wohnen, die nicht beschuldigt werde. Den österreichischen Behörden sei auch be- kannt gewesen, durch welche Anwaltskanzlei in Köln der Beschwerdeführer vertreten werde. Zudem habe sich der Beschwerdeführer und seine Ehefrau in der Schweiz offiziell angemeldet. Bei der Wiederholungsgefahr handle es sich um reine Spekulation. Die Gründung einer Gesellschaft, die Kunstver- mittlung zum Geschäftsmodell habe, deute auf keine Wiederholungsgefahr hin. Da er und seine Ehefrau von dem österreichischen Ermittlungsverfahren seit langem Kenntnis hätten, sei auch die Verdunkelungsgefahr ausge- schlossen (act. 1; act. 6).</w:t>
      </w:r>
    </w:p>
    <w:p>
      <w:r>
        <w:rPr>
          <w:b/>
        </w:rPr>
        <w:t>E. 3.2.1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u.a. den Entscheid des Bundesstrafgerichts RH.2021.1 vom 18. Januar 2021 E. 3).</w:t>
      </w:r>
    </w:p>
    <w:p>
      <w:r>
        <w:rPr>
          <w:b/>
        </w:rPr>
        <w:t>E. 3.2.2</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f.; 111 IV 108 E. 2; Entscheid des Bundesstrafgerichts RH.2015.14 vom 9. Juli 2015 E. 4.1). Die Rechtsprechung ist hinsichtlich der Verneinung von Fluchtgefahr überaus restriktiv und misst der Erfüllung dieser staatsvertraglichen Auslie- ferungspflichten im Vergleich zu den Interessen des Verfolgten ausseror- dentlich grosses Gewicht bei (vgl. BGE 130 II 306 E. 2 S. 310 ff. m.w.H.; Entscheid des Bundesstrafgerichts RH.2015.4 vom 23. Februar 2015 E. 5.2). Das Bundesgericht bejaht die Fluchtgefahr bei drohenden hohen Freiheits-</w:t>
      </w:r>
    </w:p>
    <w:p>
      <w:r>
        <w:t>- 6 -</w:t>
      </w:r>
    </w:p>
    <w:p>
      <w:r>
        <w:t>strafen in der Regel sogar dann, wenn der Betroffene über eine Niederlas- sungsbewilligung und familiäre Bindungen in der Schweiz verfügt (BGE 136 IV 20 E. 2.3; Urteil des Bundesgerichts 8G.45/2001 vom 15. August 2001 E. 3a).</w:t>
      </w:r>
    </w:p>
    <w:p>
      <w:r>
        <w:rPr>
          <w:b/>
        </w:rPr>
        <w:t>E. 3.3.1</w:t>
      </w:r>
    </w:p>
    <w:p>
      <w:r>
        <w:t>Soweit der Beschwerdeführer die Rechtmässigkeit des ausländischen Haft- befehls bestreitet, ist er darauf hinzuweisen, dass die Gültigkeit von auslän- dischen Verfahrensentscheiden nur ausnahmsweise überprüft wird, beson- ders wenn schwere Verletzungen des ausländischen Rechts vorliegen. Dies ist der Fall, wenn das Rechtshilfeersuchen bzw. Auslieferungsersuchen rechtsmissbräuchlich erscheint und Zweifel aufkommen, ob die grundsätzli- chen Verteidigungsrechte im ausländischen Verfahren gewahrt werden bzw. gewahrt worden sind (Urteil des Bundesgerichts 1A.15/2002 vom 5. März 2002 E. 3.2; Entscheide des Bundesstrafgerichts RH.2020.9 vom 11. Sep- tember 2020 E. 6; RH.2014.3 vom 5. März 2014 E. 9.4). Was der Beschwer- deführer vorliegend vorbringt, vermag eine ausnahmsweise vorzunehmende Überprüfung des ausländischen Haftbefehls grundsätzlich nicht zu rechtfer- tigen. Im Europäischen Haftbefehl vom 4. Oktober 2023 wurde die Fluchtge- fahr bejaht, weil der Beschwerdeführer und seine Ehefrau nicht mehr in Ös- terreich wohnhaft waren und eine aktuelle Adresse nicht erhoben werden konnte, da auch sein Verteidiger diese nicht bekannt gegeben habe (act. 7.2). Allein der Umstand, dass die mit der Vertretung des Beschwerde- führers betraute Anwaltskanzlei in Köln mit E-Mail vom 31. Oktober 2023 bestreitet, seitens der österreichischen Behörden angeschrieben worden zu sein (act. 6.3), lässt das vorliegende Auslieferungsersuchen nicht als rechts- missbräuchlich erscheinen. Da die im Europäischen Haftbefehl ausgeführten Haftgründe an dieser Stelle grundsätzlich nicht zu prüfen sind, ist der Be- schwerdeführer auf das ausländische Verfahren zu verweisen.</w:t>
      </w:r>
    </w:p>
    <w:p>
      <w:r>
        <w:rPr>
          <w:b/>
        </w:rPr>
        <w:t>E. 3.3.2</w:t>
      </w:r>
    </w:p>
    <w:p>
      <w:r>
        <w:t>Zur Fluchtgefahr ist festzuhalten, dass dem Beschwerdeführer im Falle einer Auslieferung und einer Verurteilung in Österreich eine Freiheitsstrafe von bis zu 10 Jahren droht (act. 7.1). Der Beschwerdeführer ist deutscher Staatsbür- ger und 64 Jahre alt. Ein enger Bezug des Beschwerdeführers zur Schweiz ist nicht zu erkennen und ein solcher wird von ihm auch nicht behauptet. Eine offizielle Anmeldung in der Schweiz ist nicht aktenkundig. Gemäss dem vom Beschwerdegegner ins Recht gelegten Auszug aus dem zentralen Migrati- onssystem ZEMIS verfügt der Beschwerdeführer in der Schweiz über keine Aufenthaltsbewilligung und eine Wohnadresse ist dort nicht hinterlegt (act. 7.12). Der Beschwerdeführer könnte in Freiheit trotz der von ihm ange- gebenen Gesundheitsleiden (Bluthochdruck, Schlafapnoe, Diabetes und Klaustrophobie; [act. 7.4]) ohne weiteres untertauchen und sich beispiels- weise nach Deutschland absetzen und sich auf diese Weise der Auslieferung</w:t>
      </w:r>
    </w:p>
    <w:p>
      <w:r>
        <w:t>- 7 -</w:t>
      </w:r>
    </w:p>
    <w:p>
      <w:r>
        <w:t>entziehen. Der Beschwerdegegner geht unter diesen Umständen zu Recht von erheblicher Fluchtgefahr aus. Mildere Ersatzmassnahmen, die geeignet wären, der erheblichen Fluchtgefahr ausreichend zu begegnen, sind vorlie- gend keine ersichtlich. Ausserdem werden Ersatzmassnahmen wie Abgabe der Reisedokumente, Schriftensperre, Meldepflicht und Electronic Monito- ring angesichts der einfachen Möglichkeit, sich ins Ausland abzusetzen, nach konstanter Rechtsprechung nur in Kombination mit einer sehr substan- tiellen Sicherheitsleistung als überhaupt geeignet erachtet, eine bestehende Fluchtgefahr ausreichend zu bannen (Entscheide des Bundesstrafgerichts RH.2017.17 vom 2. Oktober 2017 E. 5.4.4; RH.2015.20 vom 1. September 2015 E. 5.3.2; RH.2015.10 vom 10. Juni 2015 E. 5.3; RH.2015.4 vom 23. Februar 2015 E. 5.2). Da eine solche vom Beschwerdeführer nicht ange- boten wird, fallen Ersatzmassnahmen daher von vornherein ausser Betracht.</w:t>
      </w:r>
    </w:p>
    <w:p>
      <w:r>
        <w:rPr>
          <w:b/>
        </w:rPr>
        <w:t>E. 3.4</w:t>
      </w:r>
    </w:p>
    <w:p>
      <w:r>
        <w:t>Andere Gründe, welche eine Auslieferung offensichtlich auszuschliessen oder sonst zu einer Aufhebung der Auslieferungshaft zu führen vermöchten, werden weder vom Beschwerdeführer geltend gemacht noch sind solche er- sichtlich.</w:t>
      </w:r>
    </w:p>
    <w:p>
      <w:r>
        <w:rPr>
          <w:b/>
        </w:rPr>
        <w:t>E. 3.5</w:t>
      </w:r>
    </w:p>
    <w:p>
      <w:r>
        <w:t>Nach dem Gesagten erweist sich die Beschwerde als unbegründet und ist vollumfänglich abzuweisen.</w:t>
      </w:r>
    </w:p>
    <w:p>
      <w:r>
        <w:rPr>
          <w:b/>
        </w:rPr>
        <w:t>E. 4.1</w:t>
      </w:r>
    </w:p>
    <w:p>
      <w:r>
        <w:t>Die Rechtsvertreterin des Beschwerdeführers ersucht um Gewährung der unentgeltlichen Prozessführung und um Einsetzung als seine unentgeltliche Rechtsbeiständin. Zur Begründung führt sie aus, dass dem Beschwerdefüh- rer vorgeworfen werde, Vermögensdelikte in erheblichem Umfange began- gen zu haben, ihr sei keine Erwerbstätigkeit des Beschwerdeführers bekannt und würde der Beschwerdeführer sie direkt bezahlen, wäre sie nicht in der Lage abzuklären, ob die Mittel aus legaler Quelle stammen. Die anwaltliche Sorgfaltspflicht verbiete ihr in einem solchen Fall, Gelder des Beschwerde- führers anzunehmen (RP.2023.45).</w:t>
      </w:r>
    </w:p>
    <w:p>
      <w:r>
        <w:rPr>
          <w:b/>
        </w:rPr>
        <w:t>E. 4.2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 sind Prozessbegehren als aussichtslos anzusehen, wenn die Gewinnaus- sichten beträchtlich geringer erscheinen als die Verlustgefahren. Dagegen gilt ein Begehren nicht als aussichtslos, wenn sich Gewinnaussichten und</w:t>
      </w:r>
    </w:p>
    <w:p>
      <w:r>
        <w:t>- 8 -</w:t>
      </w:r>
    </w:p>
    <w:p>
      <w:r>
        <w:t>Verlustgefahren ungefähr die Waage halten oder jene nur wenig geringer sind als diese (BGE 142 III 138 E. 5.1 S. 139 f.; 140 V 521 E. 9.1).</w:t>
      </w:r>
    </w:p>
    <w:p>
      <w:r>
        <w:rPr>
          <w:b/>
        </w:rPr>
        <w:t>E. 4.3</w:t>
      </w:r>
    </w:p>
    <w:p>
      <w:r>
        <w:t>Es obliegt dem Gesuchsteller, seine Einkommens- und Vermögensverhält- nisse umfassend darzulegen und soweit als möglich zu belegen, wobei die Belege über sämtliche finanziellen Verpflichtungen sowie über seine Ein- kommens- und Vermögensverhältnisse Aufschluss zu geben haben. Der Be- schwerdeführer bzw. seine Rechtsvertreterin hat mit dem Formular betref- fend unentgeltliche Rechtspflege keine Unterlagen und Beweismittel einge- reicht. Welche Vermögenswerte des Beschwerdeführers und seiner Ehefrau vom gegen sie erhobenen Verdacht des Betrugs betroffen sein könnten, kann somit nicht ansatzweise überprüft werden. Damit ist der Beschwerde- führer im vorliegenden Verfahren seiner Obliegenheit zur umfassenden Dar- legung seiner Einkommens- und Vermögensverhältnisse nicht hinreichend nachgekommen (vgl. hierzu BGE 125 IV 161 E. 4a S. 164 f.; Urteil des Bun- desgerichts 2C_409/2017 vom 2. August 2018 E. 6.1.1; 2C_48/2017 vom 16. Juni 2017 E. 2.3; Entscheide des Bundesstrafgerichts RH.2019.11 vom 19. Juni 2019 E. 5.2; RR.2017.94 vom 7. Dezember 2017 E. 10.2). Nachdem vorliegend nicht geprüft werden kann, über welche Vermögens- werte der Beschwerdeführer tatsächlich verfügt, kann auch nicht beurteilt werden, ob und in welchem Umfang das Honorar der Rechtsvertreterin mit Geldern legaler Herkunft beglichen werden könnte. Da sich die vorliegende Beschwerde angesichts der oben gemachten Ausführungen ohnehin als aussichtlos i.S.v. Art. 65 Abs. 1 VwVG erweist und das Gesuch um unent- geltliche Rechtspflege und -verbeiständung auch aus diesem Grund abzu- weisen ist, kann auf weitergehende Ausführungen verzichtet werden.</w:t>
      </w:r>
    </w:p>
    <w:p>
      <w:r>
        <w:rPr>
          <w:b/>
        </w:rPr>
        <w:t>E. 4.4</w:t>
      </w:r>
    </w:p>
    <w:p>
      <w:r>
        <w:t>Bei diesem Ausgang des Verfahrens sind die Gerichtskosten dem Be- schwerdeführer aufzuerlegen (Art. 63 Abs. 1 VwVG). Die Gerichtsgebühr ist auf Fr. 2'000.-- festzusetzen (vgl. Art. 63 Abs. 5 VwVG und Art. 73 StBOG sowie Art. 5 und Art.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