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RH.2023.15 vom 6. September 2023</w:t>
      </w:r>
    </w:p>
    <w:p>
      <w:r>
        <w:t>Bundesstrafgericht, 2023-09-06, IT</w:t>
      </w:r>
    </w:p>
    <w:p>
      <w:r>
        <w:rPr>
          <w:b/>
        </w:rPr>
        <w:t xml:space="preserve">Quelle: </w:t>
      </w:r>
      <w:r>
        <w:t>https://mcp.opencaselaw.ch/entscheid/bstger_RH.2023.15</w:t>
      </w:r>
    </w:p>
    <w:p>
      <w:r>
        <w:t>FR: TPF RH.2023.15 du 6 septembre 2023</w:t>
      </w:r>
    </w:p>
    <w:p>
      <w:r>
        <w:t>IT: TPF RH.2023.15 del 6 settembre 2023</w:t>
      </w:r>
    </w:p>
    <w:p>
      <w:pPr>
        <w:pStyle w:val="Heading2"/>
      </w:pPr>
      <w:r>
        <w:t>Regeste</w:t>
      </w:r>
    </w:p>
    <w:p>
      <w:r>
        <w:t>Assistenza giudiziaria internazionale in materia penale all'Italia; ordine di arresto in vista di estradizione (art. 48 cpv. 2 AIMP); assistenza giudiziaria gratuita (art. 65 PA)</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dell'estradando è pacifica. Il gravame è di conseguenza ricevibile in ordine.</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 regolamento (UE) 2018/1862 del Parlamento europeo e del Consiglio del 28 novembre 2018 sull'istituzione, l'esercizio e l'uso del sistema d'informazione Schengen (SIS) nel settore della cooperazione di polizia e della cooperazione giudiziaria in materia penale, che modifica e abroga la decisione 2007/533/GAI del Consiglio e che abroga il re- golamento (CE) n. 1986/2006 del Parlamento europeo e del Consiglio e la de- cisione 2010/261/UE della Commissione, segnatamente gli art. 26-31 (n. CELEX 32018R1862; Gazzetta ufficiale dell’Unione europea L 312 del 7 di- cembre 2018, pag. 56-106; “Raccolta dei testi giuridici riguardanti gli accordi settoriali con l'UE”, 8.4 Sviluppi dell'acquis di Schengen), così come, a partire dal 5 novembre 2019, le disposizioni della Convenzione del 27 settembre 1996 relativa all’estradizione tra gli Stati membri dell’Unione europea (Convenzione sull’estradizione UE; n° CELEX 41996A1023(02); Gazzetta ufficiale dell’Unione</w:t>
      </w:r>
    </w:p>
    <w:p>
      <w:r>
        <w:t>- 4 -</w:t>
      </w:r>
    </w:p>
    <w:p>
      <w:r>
        <w:t>europea C 313 del 23 ottobre 1996, pag. 12-23, “Raccolta dei testi giuridici ri- 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 (ov- vero gli art. 2, 6, 8, 9 e 13 nonché l’art. 1, per quanto pertinente agli altri articoli). Restano impregiudicate disposizioni più favorevoli all’assistenza in vigore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5a ediz. 2019, n. 348 e n. 350; HEIMGARTNER,</w:t>
      </w:r>
    </w:p>
    <w:p>
      <w:r>
        <w:t>- 5 -</w:t>
      </w:r>
    </w:p>
    <w:p>
      <w:r>
        <w:t>Auslieferungsrecht, 2002, pag. 57). L’ordine di arresto in vista di estradizione può tuttavia essere annullato, rispettivamente la liberazione ordinata, segnata- 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estradizione sia accolta e cresciuta in giudicato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 visorio potrà e, rispettivamente, dovrà cessare se la domanda d'estradizione non è presentata col prescritto corredo (art. 16 n. 4, prima frase), la Conven- zione precisa (ibidem, seconda frase) che, tuttavia, la liberazione provvisoria è sempre possibile "in quanto la Parte richiesta prenda tutte le misure da essa ritenute necessarie per evitare la fuga dell'individuo richiesto". Nessuna dispo- sizione contiene invece la CEEstr circa la carcerazione estradizionale tra il mo- mento della presentazione della domanda e la decisione. Applicabile è quindi unicamente il diritto dello Stato richiesto, compatibilmente col rispetto degli ob- blighi di consegna del ricercato che derivano dalla Convenzione (DTF 109 Ib 223 consid. 2a, con rinvii; MOREILLON, op. cit., n. 7 e 9 ad art. 47 AIMP).</w:t>
      </w:r>
    </w:p>
    <w:p>
      <w:r>
        <w:rPr>
          <w:b/>
        </w:rPr>
        <w:t>E. 3</w:t>
      </w:r>
    </w:p>
    <w:p>
      <w:r>
        <w:t>Il reclamante contesta l’esistenza del pericolo di fuga. Egli sostiene di avere stretti legami con la Svizzera, in particolare col Ticino, centro dei suoi interessi personali/affettivi e professionali. Risiederebbe nel nostro Paese da quindici anni e sarebbe da tempo al beneficio di un permesso di domicilio, come i suoi familiari. A Z./TI risiederebbe con la moglie e quattro figli (nati nel 1998, 2001, 2009 e 2011). Da quando sarebbero arrivati in Svizzera, i figli più grandi avreb- bero frequentato le scuole e la formazione professionale sul territorio. I due figli</w:t>
      </w:r>
    </w:p>
    <w:p>
      <w:r>
        <w:t>- 6 -</w:t>
      </w:r>
    </w:p>
    <w:p>
      <w:r>
        <w:t>più piccoli, ancora minorenni, sarebbero nati, cresciuti e in formazione nel Men- drisiotto. Il reclamante e la sua famiglia sarebbero perfettamente integrati nel Cantone. La ditta individuale di cui sarebbe titolare costituirebbe la fonte princi- pale di sostentamento dell’intero nucleo famigliare, per cui il suo arresto sa- rebbe un duro colpo per la situazione finanziaria della famiglia. Il ricorrente non avrebbe legami in altri Paesi, all’infuori dell’Italia. Egli non si sarebbe mai reso irreperibile alle autorità italiane, avendo anche presentato a quest’ultime un’istanza di riconoscimento del vincolo della continuazione concernente le condanne a suo carico. A mente dell’insorgente, le sue precarie condizioni di salute costituirebbero un ulteriore motivo per escludere il pericolo di fuga. Egli sarebbe affetto da grave malattia che lo obbligherebbe a continui controlli e ac- certamenti presso ospedali e cliniche. Per tacere del fatto che questa sua con- dizione sarebbe già di per sé motivo per prescindere dalla carcerazione.</w:t>
      </w:r>
    </w:p>
    <w:p>
      <w:r>
        <w:rPr>
          <w:b/>
        </w:rPr>
        <w:t>E. 3.1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 tualità di una pena privativa della libertà di lunga durata costituivano elementi sufficienti a rendere verosimile il rischio che il reclamante potesse sottrarsi all'estradizione, sebbene egli avesse legami importanti con la Svizzera, es- sendo titolare di un permesso B, coniugato con una cittadina svizzera e stesse per diventare padre. Tale rischio, acutizzato dalla sua giovane età, non veniva</w:t>
      </w:r>
    </w:p>
    <w:p>
      <w:r>
        <w:t>- 7 -</w:t>
      </w:r>
    </w:p>
    <w:p>
      <w:r>
        <w:t>sminuito dal fatto che, come ritenuto anche nelle altre cause, fosse a cono- scenza del suo perseguimento e non fosse nondimeno fuggito: soltanto con l'ordine di arresto in vista d'estradizione si erano infatti concretizzate sia le ac- cuse sia la possibilità effettiva di essere estradato (sentenza del Tribunale fe- derale 8G.49/2002 del 24 maggio 2002 consid. 3b). Tenuto conto di questa giu- 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3.2</w:t>
      </w:r>
    </w:p>
    <w:p>
      <w:r>
        <w:t>Secondo l'art. 47 cpv. 2 AIMP, se la persona perseguitata non è in condizione d'essere incarcerata o se altri motivi lo giustificano, l'Ufficio federale può, in luogo della carcerazione, decidere altri provvedimenti cautelari. Una persona è</w:t>
      </w:r>
    </w:p>
    <w:p>
      <w:r>
        <w:t>- 8 -</w:t>
      </w:r>
    </w:p>
    <w:p>
      <w:r>
        <w:t>considerata non idonea alla detenzione se è certo o altamente probabile che la detenzione metterà in pericolo la sua vita o comprometterà gravemente la sua salute (v. sentenza del Tribunale penale federale RH.2023.13 del 16 agosto 2023 consid. 5.2). Il concetto di carcerabilità si basa sul diritto costituzionale (cfr. art. 10 Cost., nonché art. 2 e 3 CEDU) di garantire un'assistenza sanitaria sufficiente alla persona detenuta (v. URWYLER/ENDRASS/HACHTEL/GRAF, Hand- buch Strafrecht – Psychiatrie – Psychologie, 2022, pag. 1015). Se lo stato di salute sia un ostacolo alla detenzione e se sia garantita un'adeguata assistenza medica durante la detenzione deve essere chiarito dall'autorità competente in ogni singolo caso con l'assistenza di esperti medici (v. HÄNNI, Commentario basilese, 2a ediz. 2014, n. 49 ad art. 251/252 CPP; DTF 136 IV 97 consid. 5). Il Tribunale federale ha già implicitamente ammesso che le precarie condizioni di salute del detenuto in vista di estradizione possono teoricamente costituire un motivo valido per interrompere la prosecuzione della detenzione e ordinare altri provvedimenti cautelari ai sensi dell'art. 47 cpv. 2 AIMP (v. sentenze del Tribunale federale 8G.11/2003 del 21 febbraio 2003 consid. 4 e 1A.283/2000 del 20 novembre 2000 consid. 3d). Nel primo caso, l'Alta Corte, considerate l'assenza di una qualsiasi perizia medica relativa allo stato di salute del detenuto nonché l'esistenza di una dichiarazione di quest'ultimo, effettuata solo due set- timane prima di interporre ricorso al Tribunale federale, mediante la quale egli affermava di sentirsi sano e di non necessitare di alcun medicamento, ha con- fermato la detenzione del ricorrente. Tale decisione è stata adottata anche alla luce delle assicurazioni fornite dall'UFG, il quale garantiva che le condizioni psico-fisiche del detenuto sarebbero state analizzate da un medico. In caso di necessità, esso avrebbe provveduto allo spostamento dello stesso in "eine ge- eignete Abteilung eines Gefängnisspitals". Nel secondo caso, il detenuto la- mentava problemi di varia natura. A livello fisico, egli dichiarava di soffrire di gonfiori alle articolazioni, di forte diarrea nonché di aver subito una grossa per- dita di peso. A livello psichico, vi sarebbero state le prime avvisaglie di seri pro- blemi mentali. Il detenuto aggiungeva inoltre di aver contratto, nella prigione dell'aeroporto dove aveva soggiornato, una malattia virale o un'infezione batte- rica, e che il suo sangue presentava valori critici. Un'esatta valutazione della sua carcerabilità sarebbe dunque dipesa da analisi mediche in corso. Alla luce di quanto precede, il Tribunale federale ha avuto modo di affermare che ogni privazione della libertà ha un'incidenza negativa sulla psiche di chi ne è oggetto. Nel caso specifico, il detenuto non ha dimostrato né che i problemi di cui era vittima non potevano essere risolti mantenendo la detenzione estradizionale né che esistevano altri motivi per concludere alla sua non carcerabilità. Non rima- neva dunque che confermare la detenzione estradizionale e attendere semmai i risultati delle analisi mediche allora in corso. La giurisprudenza ha del resto affermato che l’età avanzata e un precario stato di salute non giustificano, da soli, una liberazione provvisoria (v. sentenze del Tribunale penale federale RR.2009.329 del 24 novembre 2009 consid. 5.3; RR.2009.308 del 19 ottobre 2009 consid. 7.2-7.3; v. anche ZIMMERMANN, op. cit., n. 348 pag. 379).</w:t>
      </w:r>
    </w:p>
    <w:p>
      <w:r>
        <w:t>- 9 -</w:t>
      </w:r>
    </w:p>
    <w:p>
      <w:r>
        <w:rPr>
          <w:b/>
        </w:rPr>
        <w:t>E. 3.3</w:t>
      </w:r>
    </w:p>
    <w:p>
      <w:r>
        <w:t>In concreto, non si è manifestamente in presenza di circostanze particolari che imporrebbero di derogare, in via eccezionale, alla regola della carcerazione. Il reclamante è cittadino italiano, ha 54 anni e risiede in Svizzera da svariati anni, dove vive con la moglie e quattro figli, esercitando un’attività imprenditoriale che, a dire del predetto, costituirebbe la fonte principale di sostentamento dell’intero nucleo familiare (v. act. 1, pag. 5 e seg.). Vista la predetta giurispru- denza (v. anche sentenze del Tribunale penale federale RR.2011.133 del 29 giugno 2011 consid. 3; RR.2011.88 del 15 aprile 2011 consid. 7; RR.2011.45 del 9 marzo 2011 consid. 4.4; ZIMMERMANN, op. cit., n. 348 pag. 379) e l’impor- tante pena residua di 4 anni e 8 mesi da scontare, basata su sentenze italiane cresciute in giudicato, i motivi addotti non sono sufficienti per negare il pericolo di fuga. Nonostante la sua situazione personale e professionale, di fronte alla possibilità di un'estradizione all'Italia, dove deve scontare una pena relativa- mente lunga, persiste un marcato pericolo che l'estradando tenti di sottrarsi alla giustizia. Premesso che il medesimo si è proposto di eventualmente versare una cauzione quale misura sostitutiva alla privazione della libertà (v. infra con- sid. 4), gli asseriti problemi economici derivanti dalla sua detenzione, ancorché dimostrati, non possono costituire un motivo per rinunciarvi. La sua malattia, del resto, non costituisce un valido motivo di attenuazione del pericolo di fuga, nella misura in cui potrebbe essere curata in maniera adeguata anche in altri Paesi, dove il reclamante potrebbe decidere di rifugiarsi contando su eventuali rapporti estradizionali meno stretti con l’Italia. Né vi sono elementi agli atti, segnata- mente certificati medici ad hoc, che permetterebbero di concludere che l’estra- dando non è carcerabile a causa delle sue condizioni di salute (v. TPF 2020 143 consid. 5.4.1 e riferimenti). Anzi, interpellata dall’UFG in questo ambito in data 21 agosto 2023, la Dr. med. B., responsabile del Servizio di Medicina Pe- nitenziaria Cantonale (EOC), ha dichiarato che “rispetto alla sua domanda per l’assistito A., posso confermarle che lo stato di salute attualmente è compatibile con la detenzione. Sono a noi noti i problemi di salute del signor A., ma al mo- mento non ci sono motivi clinici per non ritenerlo carcerabile” (act. 3.10). L’UFG ha peraltro assicurato che “per qualsiasi necessità legata a problemi di salute il ricorrente potrà anche in futuro rivolgersi al servizio medico del carcere. Questo continuerà ad adottare le misure necessarie, come già accaduto con il ricovero in ospedale rispettivamente in infermeria. Qualora la sua carcerabilità non fosse più possibile l’UFG ne sarà informato e potrà prendere a sua volta le misure necessarie” (act. 3, pag. 6). Quindi, visto che le cure possono continuare ad essere somministrate anche in regime di detenzione e che i medici che si sono occupati del reclamante non hanno attestato una sua non carcerabilità, occorre concludere che i problemi di salute del predetto non costituiscono né un osta- colo alla detenzione estradizionale né permettono di negare il pericolo di fuga. Si rileva del resto che egli svolgeva un’attività lavorativa prima di essere arre- stato, senza che le sue condizioni di salute lo impedissero anche solo parzial- mente. Le censure in questo ambito vanno pertanto disattese.</w:t>
      </w:r>
    </w:p>
    <w:p>
      <w:r>
        <w:t>- 10 -</w:t>
      </w:r>
    </w:p>
    <w:p>
      <w:r>
        <w:rPr>
          <w:b/>
        </w:rPr>
        <w:t>E. 4</w:t>
      </w:r>
    </w:p>
    <w:p>
      <w:r>
        <w:t>In alternativa alla detenzione, il reclamante propone l’adozione di misure sosti- tutive quali la consegna di tutti i suoi documenti personali d’identità e di viaggio così come il suo permesso di domicilio, l’annuncio settimanale presso l’autorità o il braccialetto elettronico, unitamente al pagamento di una cauzione, anche se quest’ultima risulterebbe difficile da proporre, vista la sua precaria situazione finanziaria.</w:t>
      </w:r>
    </w:p>
    <w:p>
      <w:r>
        <w:t>Contrariamente a quanto sostenuto nel reclamo, ritenuta in particolare la consi- stente pena di 4 anni e 8 mesi ancora da scontare (v. supra consid. 3.2), le misure in questione non sono di per sé sufficienti a scongiurare un pericolo di fuga (v. sentenza del Tribunale penale federale RR.2009.329 consid. 1.1.2 e riferimenti citati). Il versamento di una cauzione, seppur combinato con la sor- veglianza tramite braccialetto elettronico, avrebbe anch'esso solo un'incidenza minima sul pericolo in questione. A tal proposito, nel gravame si afferma che “ritenuta la situazione finanziaria del qui ricorrente, risulta difficile e poco con- gruo proporre ad oggi il deposito di una cauzione, ma qualora ritenuto elemento determinante da questa lodevole Corte, il signor A. farà fronte alla stessa, da determinarsi a cura di questa Corte sulla base della documentazione che si farà pervenire con la richiesta di assistenza giudiziaria” (act. 1, pag. 10). Nella sua risposta al ricorso, l’UFG rileva che “il ricorrente rinuncia a quantificare un pos- sibile importo” (act. 3, pag. 5). Ora, nella misura in cui la questione della cau- zione non sembra essere stata concretamente avanzata dinanzi all’UFG e che l’estradando non ha quindi né invocato tale possibilità né quantificato un possi- bile importo con detta autorità prima del deposito del presente gravame, la ri- chiesta formulata solo in questa sede non risulta liquida, per cui la relativa cen- sura non merita ulteriore disamina, visto che non spetta certamente alla giuri- sdizione di reclamo “negoziare” con l’interessato l’ammontare di un’eventuale cauzione.</w:t>
      </w:r>
    </w:p>
    <w:p>
      <w:r>
        <w:rPr>
          <w:b/>
        </w:rPr>
        <w:t>E. 5</w:t>
      </w:r>
    </w:p>
    <w:p>
      <w:r>
        <w:t>Sulla base dell'incarto, non sono ravvisabili altri motivi che permetterebbero di ordinare la scarcerazione dell'estradando. In definitiva, sussistendo un reale pe- ricolo di fuga e in assenza di altra soluzione equivalente nei suoi risultati ma meno limitativa della libertà personale, il provvedimento impugnato non può es- sere considerato lesivo del principio della proporzionalità. Non vi è quindi ra- gione di scarcerare l'estradando ordinando misure cautelari sostitutive.</w:t>
      </w:r>
    </w:p>
    <w:p>
      <w:r>
        <w:rPr>
          <w:b/>
        </w:rPr>
        <w:t>E. 6</w:t>
      </w:r>
    </w:p>
    <w:p>
      <w:r>
        <w:t>In conclusione, il reclamo va respinto e la detenzione estradizionale confermata.</w:t>
      </w:r>
    </w:p>
    <w:p>
      <w:r>
        <w:rPr>
          <w:b/>
        </w:rPr>
        <w:t>E. 7</w:t>
      </w:r>
    </w:p>
    <w:p>
      <w:r>
        <w:t>Il reclamante sollecita la concessione del beneficio dell'assistenza giudiziaria e del gratuito patrocinio nella persona dell’avv. Letizia Vezzoni (v. RP.2023.35, act. 1).</w:t>
      </w:r>
    </w:p>
    <w:p>
      <w:r>
        <w:t>- 11 -</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(v. DTF 124 I 1 consid. 2a). Una parte è da considerarsi quindi indigente allorquando, per pagare le spese processuali e le ripetibili, è costretta ad intaccare i mezzi necessari per coprire i bisogni fondamentali personali e della propria famiglia (v. DTF 125 IV 161 consid. 4a; 124 I 1 consid. 2a; cfr. ugualmente DTF 128 I 225 consid. 2.5.1; 127 I 202 con- 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(v.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 sid. 3.3; 2C_367/2020 consid. 3.3; 5A_716/2018 del 27 novembre 2018 con- sid. 3.2; 9C_784/2017 del 12 gennaio 2018 consid. 2). Le informazioni e i relativi mezzi di prova devono fornire un'immagine fedele, completa e coerente della situazione finanziaria del richiedente (v. DTF 135 I 221 consid. 5.1). In caso contrario l'istanza deve essere respinta, non essendo sufficientemente sostan- ziato o dimostrato lo stato di indigenza (v. DTF 125 IV 161 consid. 4a; sentenze</w:t>
      </w:r>
    </w:p>
    <w:p>
      <w:r>
        <w:t>- 12 -</w:t>
      </w:r>
    </w:p>
    <w:p>
      <w:r>
        <w:t>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7.2</w:t>
      </w:r>
    </w:p>
    <w:p>
      <w:r>
        <w:t>In concreto, il reclamante ha inoltrato a questa Corte l’apposito formulario com- pilato (v. RP.2023.35, act. 3.1).</w:t>
      </w:r>
    </w:p>
    <w:p>
      <w:r>
        <w:t>Per quanto riguarda la sua fortuna, egli ha dichiarato di avere fr. 1'428.– su un conto alla Banca C., mentre la moglie dispone di fr. 13'983.– presso la banca D., fr. 1'922.– presso la banca C. e fr. 28'800.– in titoli, oltre un immobile del valore di fr. 1'250'000.– (v. ibidem, pag. 3). Entrambi i coniugi sono proprietari ognuno di un’auto: il reclamante di una BMW i3 del valore attuale di fr. 24'000.–, la mo- glie di una BMW X2 del valore attuale di fr. 30'000.–. Essi dispongono di parte- cipazioni in una società svizzera: lui per fr. 14'325.– e lei per fr. 42'000.– (v. ibi- dem). L’insorgente dichiara di avere debiti per fr. 172'800.–; la moglie per fr. 944'600.–, di cui fr. 934'600.– in relazione a un’ipoteca immobiliare (v. ibi- dem). Le spese mensili complessive del reclamante ammontano a fr. 1'557.– così suddivise: fr. 548.– per premi dell’assicurazione malattie, fr. 84.– per l’as- sicurazione economia domestica e responsabilità civile privata, fr. 112.– per un’assicurazione vita, fr. 176.– per altre assicurazioni, fr. 208.– per spese me- diche non rimborsate e fr. 429.– per contributi sociali non dedotti dal salario. Quelle della moglie, di fr. 1'270.–, sono così suddivise: fr. 498.– per interessi ipotecari, fr. 548.– per premi dell’assicurazione malattia, fr. 84.– per l’assicura- zione economia domestica e responsabilità civile, fr. 128.– per altri premi assi- curativi e fr. 12.– per spese per trasporti pubblici (v. ibidem, pag. 4). Il recla- mante dichiara infine di percepire un salario netto mensile di fr. 4'333.–, oltre altri introiti mensili di fr. 2'736.–, per un totale quindi di fr. 7'069.– mensili (v. ibi- dem, pag. 5).</w:t>
      </w:r>
    </w:p>
    <w:p>
      <w:r>
        <w:t>Ora, viste le cifre di cui sopra relative alla fortuna e ai redditi del reclamante e della moglie, nonché la decisione di tassazione relativa al 2021 (v. act. 1.4), la quale menziona per l’insorgente (e la moglie) un reddito imponibile complessivo di fr. 68'800.– e una sostanza mobiliare (“Numerario, biglietti di banca, oro e metalli preziosi”) di fr. 41'155.–, non si può che constatare che il predetto non risulta indigente ai sensi della predetta giurisprudenza (v. supra consid. 7.1), per cui la sua domanda di assistenza giudiziaria gratuita va respinta già solo per questo motivo. A prescindere da ciò, detta domanda sarebbe stata comun- que da disattendere anche per l’assenza di sufficienti probabilità di successo del suo ricorso, visto che i motivi addotti nello stesso sono in contrasto con le normative e i consolidati principi giurisprudenziali che reggono il diritto estradi- zionale. In effetti, dagli atti è emersa l’esistenza di un concreto pericolo di fuga.</w:t>
      </w:r>
    </w:p>
    <w:p>
      <w:r>
        <w:t>- 13 -</w:t>
      </w:r>
    </w:p>
    <w:p>
      <w:r>
        <w:t>Per quanto riguarda i suoi problemi di salute, il reclamante non ha dimostrato che gli stessi costituirebbero un ostacolo alla sua carcerabilità. Per questi mo- tivi, la richiesta di assistenza giudiziaria va respinta, sia per ciò che concerne la dispensa dal pagamento delle spese processuali, sia per quanto riguarda l'assunzione dell'onorario del suo difensore.</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2'000.– a carico del reclamante.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